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1868">
      <w:pPr>
        <w:spacing w:before="0" w:after="0" w:line="360" w:lineRule="auto"/>
        <w:rPr>
          <w:b/>
          <w:bCs/>
        </w:rPr>
      </w:pPr>
      <w:bookmarkStart w:id="0" w:name="_Hlk107255613"/>
      <w:bookmarkStart w:id="13" w:name="_GoBack"/>
      <w:bookmarkEnd w:id="13"/>
      <w:r>
        <w:rPr>
          <w:b/>
          <w:bCs/>
        </w:rPr>
        <w:t>C</w:t>
      </w:r>
      <w:bookmarkEnd w:id="0"/>
      <w:r>
        <w:rPr>
          <w:b/>
          <w:bCs/>
        </w:rPr>
        <w:t xml:space="preserve">ENTAR ZA PRUŽANJE USLUGA </w:t>
      </w:r>
    </w:p>
    <w:p w14:paraId="7FF73EC3">
      <w:pPr>
        <w:spacing w:before="0" w:after="0" w:line="360" w:lineRule="auto"/>
        <w:rPr>
          <w:b/>
          <w:bCs/>
        </w:rPr>
      </w:pPr>
      <w:r>
        <w:rPr>
          <w:b/>
          <w:bCs/>
        </w:rPr>
        <w:t>U ZAJEDNICI GRADA CRIKVENICE</w:t>
      </w:r>
    </w:p>
    <w:p w14:paraId="72F51399">
      <w:pPr>
        <w:spacing w:before="0" w:after="0" w:line="360" w:lineRule="auto"/>
        <w:rPr>
          <w:b/>
          <w:bCs/>
        </w:rPr>
      </w:pPr>
    </w:p>
    <w:p w14:paraId="1FE3B96F">
      <w:pPr>
        <w:spacing w:before="0" w:after="0" w:line="360" w:lineRule="auto"/>
        <w:rPr>
          <w:b/>
          <w:bCs/>
        </w:rPr>
      </w:pPr>
      <w:r>
        <w:rPr>
          <w:b/>
          <w:bCs/>
        </w:rPr>
        <w:t>KLASA: 400-01/22-01/05</w:t>
      </w:r>
    </w:p>
    <w:p w14:paraId="6D41D251">
      <w:pPr>
        <w:spacing w:before="0" w:after="0" w:line="360" w:lineRule="auto"/>
        <w:rPr>
          <w:b/>
          <w:bCs/>
        </w:rPr>
      </w:pPr>
      <w:r>
        <w:rPr>
          <w:b/>
          <w:bCs/>
        </w:rPr>
        <w:t>URBROJ: 2170-1-22-01-01-24-6</w:t>
      </w:r>
    </w:p>
    <w:p w14:paraId="4F12DC98">
      <w:pPr>
        <w:spacing w:before="0" w:after="0" w:line="360" w:lineRule="auto"/>
        <w:rPr>
          <w:b/>
          <w:bCs/>
        </w:rPr>
      </w:pPr>
      <w:r>
        <w:rPr>
          <w:b/>
          <w:bCs/>
        </w:rPr>
        <w:t>Crikvenica 06.04.2025.</w:t>
      </w:r>
      <w:r>
        <w:rPr>
          <w:rFonts w:ascii="Times New Roman" w:hAnsi="Times New Roman" w:eastAsia="Times New Roman" w:cs="Times New Roman"/>
          <w:b/>
          <w:bCs/>
          <w:color w:val="FF0000"/>
          <w:sz w:val="20"/>
          <w:szCs w:val="20"/>
          <w:lang w:eastAsia="hr-HR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3679825</wp:posOffset>
                </wp:positionH>
                <wp:positionV relativeFrom="paragraph">
                  <wp:posOffset>-366395</wp:posOffset>
                </wp:positionV>
                <wp:extent cx="3352800" cy="894080"/>
                <wp:effectExtent l="0" t="0" r="0" b="0"/>
                <wp:wrapSquare wrapText="bothSides"/>
                <wp:docPr id="1" name="Fram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894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Style w:val="5"/>
                              <w:tblW w:w="5280" w:type="dxa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5280"/>
                            </w:tblGrid>
                            <w:tr w14:paraId="789D1306">
                              <w:tblPrEx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8" w:hRule="atLeast"/>
                              </w:trPr>
                              <w:tc>
                                <w:tcPr>
                                  <w:tcW w:w="5280" w:type="dxa"/>
                                </w:tcPr>
                                <w:p w14:paraId="57F90623">
                                  <w:pPr>
                                    <w:widowControl/>
                                    <w:spacing w:before="0" w:after="200"/>
                                    <w:contextualSpacing/>
                                    <w:jc w:val="left"/>
                                    <w:rPr>
                                      <w:rFonts w:ascii="PDF417x" w:hAnsi="PDF417x" w:eastAsia="Calibri" w:cs="Arial"/>
                                      <w:kern w:val="0"/>
                                      <w:sz w:val="24"/>
                                      <w:szCs w:val="24"/>
                                      <w:lang w:val="hr-HR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02565F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9" o:spid="_x0000_s1026" o:spt="202" type="#_x0000_t202" style="position:absolute;left:0pt;margin-left:289.75pt;margin-top:-28.85pt;height:70.4pt;width:264pt;mso-position-horizontal-relative:page;mso-wrap-distance-bottom:0pt;mso-wrap-distance-left:9pt;mso-wrap-distance-right:9pt;mso-wrap-distance-top:0pt;z-index:251659264;mso-width-relative:page;mso-height-relative:page;" fillcolor="#FFFFFF" filled="t" stroked="f" coordsize="21600,21600" o:allowincell="f" o:gfxdata="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/7lDnYAAAACwEAAA8AAAAAAAAAAQAgAAAAIgAAAGRycy9k&#10;b3ducmV2LnhtbFBLAQIUABQAAAAIAIdO4kCwLFA0yQEAALQDAAAOAAAAAAAAAAEAIAAAACcBAABk&#10;cnMvZTJvRG9jLnhtbFBLBQYAAAAABgAGAFkBAABiBQAAAAA=&#10;"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5280" w:type="dxa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5280"/>
                      </w:tblGrid>
                      <w:tr w14:paraId="789D1306">
                        <w:tblPrEx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8" w:hRule="atLeast"/>
                        </w:trPr>
                        <w:tc>
                          <w:tcPr>
                            <w:tcW w:w="5280" w:type="dxa"/>
                          </w:tcPr>
                          <w:p w14:paraId="57F90623">
                            <w:pPr>
                              <w:widowControl/>
                              <w:spacing w:before="0" w:after="200"/>
                              <w:contextualSpacing/>
                              <w:jc w:val="left"/>
                              <w:rPr>
                                <w:rFonts w:ascii="PDF417x" w:hAnsi="PDF417x" w:eastAsia="Calibri" w:cs="Arial"/>
                                <w:kern w:val="0"/>
                                <w:sz w:val="24"/>
                                <w:szCs w:val="24"/>
                                <w:lang w:val="hr-HR" w:bidi="ar-SA"/>
                              </w:rPr>
                            </w:pPr>
                          </w:p>
                        </w:tc>
                      </w:tr>
                    </w:tbl>
                    <w:p w14:paraId="0202565F"/>
                  </w:txbxContent>
                </v:textbox>
                <w10:wrap type="square"/>
              </v:shape>
            </w:pict>
          </mc:Fallback>
        </mc:AlternateContent>
      </w:r>
    </w:p>
    <w:p w14:paraId="182763C4">
      <w:pPr>
        <w:spacing w:line="320" w:lineRule="exact"/>
        <w:rPr>
          <w:rFonts w:ascii="Times New Roman" w:hAnsi="Times New Roman" w:eastAsia="Times New Roman" w:cs="Times New Roman"/>
          <w:sz w:val="20"/>
          <w:szCs w:val="20"/>
        </w:rPr>
      </w:pPr>
    </w:p>
    <w:p w14:paraId="73D1663F">
      <w:pPr>
        <w:spacing w:before="0" w:after="0"/>
        <w:rPr>
          <w:rFonts w:ascii="Times New Roman" w:hAnsi="Times New Roman" w:cs="Times New Roman"/>
        </w:rPr>
      </w:pPr>
    </w:p>
    <w:p w14:paraId="50B19AF8">
      <w:pPr>
        <w:spacing w:before="0" w:after="0"/>
        <w:rPr>
          <w:rFonts w:ascii="Times New Roman" w:hAnsi="Times New Roman" w:cs="Times New Roman"/>
          <w:b/>
        </w:rPr>
      </w:pPr>
    </w:p>
    <w:p w14:paraId="29244E7F">
      <w:pPr>
        <w:spacing w:before="0" w:after="0"/>
        <w:ind w:left="0" w:right="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GRAD CRIKVENICA</w:t>
      </w:r>
    </w:p>
    <w:p w14:paraId="5B254C6E">
      <w:pPr>
        <w:spacing w:before="0" w:after="0"/>
        <w:ind w:left="4956" w:righ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Upravni odjel za društvene djelatnosti i lokalnu samoupravu</w:t>
      </w:r>
    </w:p>
    <w:p w14:paraId="06EE2794">
      <w:pPr>
        <w:spacing w:before="0" w:after="0"/>
        <w:ind w:left="0" w:right="0" w:firstLine="708"/>
        <w:rPr>
          <w:rFonts w:ascii="Times New Roman" w:hAnsi="Times New Roman" w:cs="Times New Roman"/>
        </w:rPr>
      </w:pPr>
    </w:p>
    <w:p w14:paraId="2F4DCC5C">
      <w:pPr>
        <w:spacing w:before="0" w:after="0"/>
        <w:ind w:left="1485" w:right="0" w:hanging="1485"/>
        <w:rPr>
          <w:rFonts w:ascii="Times New Roman" w:hAnsi="Times New Roman" w:cs="Times New Roman"/>
          <w:b/>
          <w:sz w:val="32"/>
          <w:szCs w:val="32"/>
        </w:rPr>
      </w:pPr>
    </w:p>
    <w:p w14:paraId="164C422C">
      <w:pPr>
        <w:spacing w:before="0" w:after="0"/>
        <w:ind w:left="1485" w:right="0" w:hanging="148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D83099">
      <w:pPr>
        <w:spacing w:before="0" w:after="0"/>
        <w:ind w:left="1485" w:right="0" w:hanging="1485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79CA75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13C19077">
      <w:pPr>
        <w:spacing w:before="0" w:after="0"/>
        <w:ind w:left="120" w:right="0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PREDMET: Obrazloženje prijedloga I. izmjena Financijskog plana Centar za pružanje usluga u zajednici Grada Crikvenice za razdoblje 2025-2027.</w:t>
      </w:r>
    </w:p>
    <w:p w14:paraId="4F59E339">
      <w:pPr>
        <w:spacing w:before="0" w:after="0"/>
        <w:ind w:left="1416" w:right="0" w:hanging="1416"/>
        <w:rPr>
          <w:rFonts w:ascii="Times New Roman" w:hAnsi="Times New Roman" w:cs="Times New Roman"/>
          <w:b/>
          <w:sz w:val="32"/>
          <w:szCs w:val="32"/>
        </w:rPr>
      </w:pPr>
    </w:p>
    <w:p w14:paraId="2508BE49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41EEA694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6767052C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64A94895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6FF713B9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2E0E626B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24FCCA86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401AB3FC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4C05692A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2DD23CFB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07CA3EF6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34439F98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3F341DD7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3C93094B">
      <w:pPr>
        <w:spacing w:before="0" w:after="0"/>
        <w:rPr>
          <w:rFonts w:ascii="Times New Roman" w:hAnsi="Times New Roman" w:cs="Times New Roman"/>
          <w:b/>
          <w:sz w:val="32"/>
          <w:szCs w:val="32"/>
        </w:rPr>
      </w:pPr>
    </w:p>
    <w:p w14:paraId="65FAF15E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OBRAZLOŽENJE PRIJEDLOGA I.  IZMJENA FINANCIJSKOG PLANA ZA RAZDOBLJE 2025. - 2027.</w:t>
      </w:r>
    </w:p>
    <w:p w14:paraId="69635D4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RAZDJEL: 001 UPRAVNI ODJEL ZA DRUŠTVENE DJELATNOSTI I LOKALNU SAMOUPRAVU</w:t>
      </w:r>
    </w:p>
    <w:p w14:paraId="6618B58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GLAVA: 00606 CENTAR ZA PRUŽANJE USLUGA U ZAJEDNICI GRADA CRIKVENICE</w:t>
      </w:r>
    </w:p>
    <w:p w14:paraId="3F059A3C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PRORAČUNSKI KORISNIK: CENTAR ZA PRUŽANJE USLUGA U ZAJEDNICI GRADA CRIKVENICE</w:t>
      </w:r>
    </w:p>
    <w:p w14:paraId="183714F8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8233D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1F735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0FAFCB1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DJELOKRUG RADA</w:t>
      </w:r>
    </w:p>
    <w:p w14:paraId="687624F8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5"/>
        <w:tblW w:w="10915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2B1A0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959CD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Djelokrug rada CENTRA je unapređivanje i poboljšanje pružanja socijalnih usluga za starije i nemoćne osobe u Gradu Crikvenici, u skladu sa odredbama zakona i drugih propisa.</w:t>
            </w:r>
          </w:p>
          <w:p w14:paraId="0BC3A734">
            <w:pPr>
              <w:widowControl w:val="0"/>
              <w:spacing w:before="0" w:after="0" w:line="48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Od 2010. godine Udruga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hr-HR"/>
              </w:rPr>
              <w:t>Pomoć u kući Grada Crikvenice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 organizira pružanje usluga pomoći u kući za starije i nemoćne osobe na području Grada Crikvenice sukladno utvrđenim kriterijima. </w:t>
            </w:r>
          </w:p>
          <w:p w14:paraId="3611ED8A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Osnivač Centra je Grad Crikvenica. Sjedište Centra je u ul. Kralja Tomislava 85a u Crikvenici.</w:t>
            </w:r>
          </w:p>
          <w:p w14:paraId="7FA6B319">
            <w:pPr>
              <w:widowControl w:val="0"/>
              <w:spacing w:before="0" w:after="0" w:line="48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Tijekom nekoliko zadnjih godina djelovanja Udruga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hr-HR"/>
              </w:rPr>
              <w:t>Pomoć u kući Grada Crikvenice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 višestruko je opravdala svoje postojanje, što su pokazale provedene ankete prema građanima Crikvenice koji su Program Pomoć u kući ocijenili kao jedan od najznačajnijih i najkvalitetnijih projekata grada Crikvenice. </w:t>
            </w:r>
          </w:p>
          <w:p w14:paraId="5F98921B">
            <w:pPr>
              <w:widowControl w:val="0"/>
              <w:spacing w:before="0" w:after="0" w:line="48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Udruga je dokazala svoju održivost te značajno doprinosi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>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azvoju Crikvenice kao inkluzivne, socijalno osjetljive zajednice i osigurava visoke lokalne nad standarde zaštite našim građanima. </w:t>
            </w:r>
          </w:p>
          <w:p w14:paraId="67256D14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Udruga od osnivanja afirmira Grad Crikvenicu i njegovo opredjeljenje za skrb o građanima starije dobi u nacionalnom kontekstu i znatno šire. Centar za Pomoć u kući podrazumijeva neposredni rad na poslovima pružanja pomoći u korisnikovom domu i to: </w:t>
            </w:r>
          </w:p>
          <w:p w14:paraId="6E9E1BCE">
            <w:pPr>
              <w:widowControl w:val="0"/>
              <w:numPr>
                <w:ilvl w:val="0"/>
                <w:numId w:val="2"/>
              </w:numPr>
              <w:spacing w:before="0" w:after="0" w:line="480" w:lineRule="auto"/>
              <w:jc w:val="both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Obavljanje kućnih poslova - Obavljanje kupnje živežnih namirnica, lijekova i sl. sredstvima korisnika pružanje pomoći u pripremanju obroka, pranju posuđa, čišćenju prostora u kojem korisnik živi i sl. Pomoć u obavljanju drugih povremenih kućnih poslova u domu korisnika, pomoć u zadovoljavanju i drugih potreba korisnika (pratnja izvan vlastitog doma,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hr-H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izlazak u šetnju, održavanje osobne higijene i sl.); obavljanje obilaska korisnika prema utvrđenom planu. </w:t>
            </w:r>
          </w:p>
          <w:p w14:paraId="49462149">
            <w:pPr>
              <w:widowControl w:val="0"/>
              <w:numPr>
                <w:ilvl w:val="0"/>
                <w:numId w:val="2"/>
              </w:numPr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Poslovi u dvorištu i vrtu koji su neophodni za svakodnevno zadovoljenje nužnih potreba korisnika: obavljanje poslova košnje, cijepanja drva i sl., obavljanje manje opsežnih poslova održavanja vrta i hortikulture,  obavljanje sitnih popravaka u kući koji ne zahtijevaju specifična stručna znanja i drugih poslova po nalogu nadređene osobe koji po svom ustrojstvu pripadaju ili su vezani za djelokrug rada; );pratnja pri nužnim izlascima iz kuće- liječnički pregledi i dr.</w:t>
            </w:r>
          </w:p>
          <w:p w14:paraId="60682DFB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  <w:p w14:paraId="18924EE1">
            <w:pPr>
              <w:widowControl w:val="0"/>
              <w:numPr>
                <w:ilvl w:val="0"/>
                <w:numId w:val="2"/>
              </w:numPr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održavanje osobne higijene (pomoć u oblačenju i svlačenju, u kupanju i obavljanju drugih higijenskih potreba, zadovoljavanje drugih svakodnevnih potreba);</w:t>
            </w:r>
          </w:p>
          <w:p w14:paraId="4E40DDA5">
            <w:pPr>
              <w:widowControl w:val="0"/>
              <w:numPr>
                <w:ilvl w:val="0"/>
                <w:numId w:val="2"/>
              </w:numPr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uređenje okućnice i tehnički poslovi u kući korisnika ( cijepanje drva, košnja trave uže okućnice, čišćenje snijega i);pratnja pri nužnim izlascima iz kuće- liječnički pregledi i dr.</w:t>
            </w:r>
          </w:p>
          <w:p w14:paraId="68B91717">
            <w:pPr>
              <w:widowControl w:val="0"/>
              <w:numPr>
                <w:ilvl w:val="0"/>
                <w:numId w:val="2"/>
              </w:numPr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poslovi vođenja evidencija/dnevnika rada, provođenja upitnika povezanih s pružanjem usluga, sudjelovanje na sastancima radne grupe  i izvješćivanje.</w:t>
            </w:r>
          </w:p>
          <w:p w14:paraId="409B0B2E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Na sjednici Gradskog vijeća Grada Crikvenice održanoj 15. prosinca 2020.g. donesena je Odluka o l. izmjeni i dopuni Odluke o osnivanju ustanove ,,Centar za pomoć u kući Grada Crikvenice" kojom je promijenjen naziv ustanove u „Centar za pružanje usluga u zajednici Grada Crikvenice“. </w:t>
            </w:r>
          </w:p>
          <w:p w14:paraId="12EDB86A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Osnivač Centra za pružanje usluga u zajednici grada Crikvenice je Grad Crikvenica, Kralja Tomislava 85, 51260 Crikvenica.</w:t>
            </w:r>
          </w:p>
          <w:p w14:paraId="5DE98100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Djelatnost Centra je pružanje podrške starijim osobama i teško bolesnim odraslim osobama i to: </w:t>
            </w:r>
          </w:p>
          <w:p w14:paraId="18033EED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- pružanjem usluga boravka,</w:t>
            </w:r>
          </w:p>
          <w:p w14:paraId="728D5D62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- usluge savjetovanja i pomaganja, </w:t>
            </w:r>
          </w:p>
          <w:p w14:paraId="7C121CA2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- usluge rane intervencije, </w:t>
            </w:r>
          </w:p>
          <w:p w14:paraId="0D8E7267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- usluge psihosocijalne podrške,</w:t>
            </w:r>
          </w:p>
          <w:p w14:paraId="49523AD5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 xml:space="preserve">- usluge pomoći u kući. </w:t>
            </w:r>
          </w:p>
          <w:p w14:paraId="5ADE4A3E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Djelatnost Centra upisuje se u sudski registar Trgovačkog suda i upisnik ustanova socijalne skrbi ministarstva nadležnog za poslove socijalne skrbi te u registar pružatelja socijalnih usluga.</w:t>
            </w:r>
          </w:p>
          <w:p w14:paraId="13DF1582">
            <w:pPr>
              <w:widowControl w:val="0"/>
              <w:spacing w:before="0" w:after="0" w:line="48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  <w:t>Sjedište Centra je u Crikvenici, Kralja Tomislava 85a.</w:t>
            </w:r>
          </w:p>
          <w:p w14:paraId="5445FBCF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  <w:p w14:paraId="6EB74988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  <w:p w14:paraId="05F3AB7C">
            <w:pPr>
              <w:widowControl w:val="0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7C8482C">
      <w:pPr>
        <w:spacing w:before="0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308C80A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141D7DC4">
      <w:pPr>
        <w:spacing w:before="0" w:after="0"/>
      </w:pPr>
      <w:r>
        <w:drawing>
          <wp:inline distT="0" distB="0" distL="0" distR="0">
            <wp:extent cx="5941060" cy="8058150"/>
            <wp:effectExtent l="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05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54239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016CF332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6E5FEE7D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393A7DBF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00CECC1C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74689B86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5DA71194">
      <w:pPr>
        <w:spacing w:before="0" w:after="0"/>
      </w:pPr>
      <w:r>
        <w:drawing>
          <wp:inline distT="0" distB="0" distL="0" distR="0">
            <wp:extent cx="5913120" cy="7905750"/>
            <wp:effectExtent l="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3120" cy="790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4BE85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12D20D82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526364EC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0A79C4D5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34D2713D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36D1E168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55FE8A35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7B40819B">
      <w:pPr>
        <w:spacing w:before="0" w:after="0"/>
      </w:pPr>
      <w:r>
        <w:drawing>
          <wp:inline distT="0" distB="0" distL="0" distR="0">
            <wp:extent cx="5391150" cy="4067175"/>
            <wp:effectExtent l="0" t="0" r="0" b="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D15E3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508D2156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79D44C3B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105A1D58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4298A833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539706B2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p w14:paraId="06865603">
      <w:pPr>
        <w:spacing w:before="0" w:after="0"/>
        <w:rPr>
          <w:rFonts w:ascii="Times New Roman" w:hAnsi="Times New Roman" w:eastAsia="Calibri" w:cs="Times New Roman"/>
          <w:b/>
          <w:sz w:val="16"/>
          <w:szCs w:val="16"/>
        </w:rPr>
      </w:pPr>
    </w:p>
    <w:tbl>
      <w:tblPr>
        <w:tblStyle w:val="5"/>
        <w:tblW w:w="97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727"/>
        <w:gridCol w:w="1374"/>
        <w:gridCol w:w="1433"/>
        <w:gridCol w:w="1335"/>
        <w:gridCol w:w="1530"/>
        <w:gridCol w:w="219"/>
      </w:tblGrid>
      <w:tr w14:paraId="704E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57" w:type="dxa"/>
            <w:gridSpan w:val="6"/>
            <w:vAlign w:val="center"/>
          </w:tcPr>
          <w:p w14:paraId="13343C9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B. RAČUN  FINANCIRANJA</w:t>
            </w:r>
          </w:p>
        </w:tc>
        <w:tc>
          <w:tcPr>
            <w:tcW w:w="219" w:type="dxa"/>
          </w:tcPr>
          <w:p w14:paraId="11F12167">
            <w:pPr>
              <w:widowControl w:val="0"/>
              <w:spacing w:before="0" w:after="200"/>
            </w:pPr>
          </w:p>
        </w:tc>
      </w:tr>
      <w:tr w14:paraId="1B5E2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58" w:type="dxa"/>
            <w:vAlign w:val="center"/>
          </w:tcPr>
          <w:p w14:paraId="2AC223AA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7" w:type="dxa"/>
            <w:vAlign w:val="bottom"/>
          </w:tcPr>
          <w:p w14:paraId="76FC6DD9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74" w:type="dxa"/>
            <w:vAlign w:val="bottom"/>
          </w:tcPr>
          <w:p w14:paraId="65E929E1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433" w:type="dxa"/>
            <w:vAlign w:val="bottom"/>
          </w:tcPr>
          <w:p w14:paraId="7FC571BF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vAlign w:val="bottom"/>
          </w:tcPr>
          <w:p w14:paraId="15C0726F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vAlign w:val="bottom"/>
          </w:tcPr>
          <w:p w14:paraId="08B278B7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19" w:type="dxa"/>
          </w:tcPr>
          <w:p w14:paraId="1BA43D06">
            <w:pPr>
              <w:widowControl w:val="0"/>
              <w:spacing w:before="0" w:after="200"/>
            </w:pPr>
          </w:p>
        </w:tc>
      </w:tr>
      <w:tr w14:paraId="6123F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57" w:type="dxa"/>
            <w:gridSpan w:val="6"/>
            <w:vAlign w:val="center"/>
          </w:tcPr>
          <w:p w14:paraId="11235095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B.1. RAČUN FINANCIRANJA PREMA EKONOMSKOJ KLASIFIKACIJI</w:t>
            </w:r>
          </w:p>
        </w:tc>
        <w:tc>
          <w:tcPr>
            <w:tcW w:w="219" w:type="dxa"/>
          </w:tcPr>
          <w:p w14:paraId="1948F545">
            <w:pPr>
              <w:widowControl w:val="0"/>
              <w:spacing w:before="0" w:after="200"/>
            </w:pPr>
          </w:p>
        </w:tc>
      </w:tr>
      <w:tr w14:paraId="3606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8" w:type="dxa"/>
            <w:vAlign w:val="center"/>
          </w:tcPr>
          <w:p w14:paraId="47798380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7" w:type="dxa"/>
            <w:vAlign w:val="center"/>
          </w:tcPr>
          <w:p w14:paraId="57B23D95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74" w:type="dxa"/>
            <w:vAlign w:val="center"/>
          </w:tcPr>
          <w:p w14:paraId="3EAD2B6B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433" w:type="dxa"/>
            <w:vAlign w:val="center"/>
          </w:tcPr>
          <w:p w14:paraId="65B17442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vAlign w:val="center"/>
          </w:tcPr>
          <w:p w14:paraId="41795396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vAlign w:val="center"/>
          </w:tcPr>
          <w:p w14:paraId="5CD1CED6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19" w:type="dxa"/>
          </w:tcPr>
          <w:p w14:paraId="31F34012">
            <w:pPr>
              <w:widowControl w:val="0"/>
              <w:spacing w:before="0" w:after="200"/>
            </w:pPr>
          </w:p>
        </w:tc>
      </w:tr>
      <w:tr w14:paraId="74B85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5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D63A4AD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Razred/skupina</w:t>
            </w:r>
          </w:p>
        </w:tc>
        <w:tc>
          <w:tcPr>
            <w:tcW w:w="1727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C33F40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374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403F2C89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3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5867CB45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5" w:type="dxa"/>
            <w:tcBorders>
              <w:top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952054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6E0C73B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219" w:type="dxa"/>
          </w:tcPr>
          <w:p w14:paraId="30824EDD">
            <w:pPr>
              <w:widowControl w:val="0"/>
              <w:spacing w:before="0" w:after="200"/>
            </w:pPr>
          </w:p>
        </w:tc>
      </w:tr>
      <w:tr w14:paraId="290E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5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A912B7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9F0CEC7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43FEEDFB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3C085EE4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smanjenje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0FF4AB2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5F9D23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219" w:type="dxa"/>
          </w:tcPr>
          <w:p w14:paraId="56F1586E">
            <w:pPr>
              <w:widowControl w:val="0"/>
              <w:spacing w:before="0" w:after="200"/>
            </w:pPr>
          </w:p>
        </w:tc>
      </w:tr>
      <w:tr w14:paraId="01973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1B5C35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7116CDEE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517A9045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30B1C4B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2E0EDD37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BCC50BD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</w:tcPr>
          <w:p w14:paraId="34742BC8">
            <w:pPr>
              <w:widowControl w:val="0"/>
              <w:spacing w:before="0" w:after="200"/>
            </w:pPr>
          </w:p>
        </w:tc>
      </w:tr>
      <w:tr w14:paraId="1F99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5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BEEBB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91F2B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Primici od financijske imovine i zaduživanja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22C1BE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CBAC9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080AFC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D8CB3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</w:tcPr>
          <w:p w14:paraId="5A522BE1">
            <w:pPr>
              <w:widowControl w:val="0"/>
              <w:spacing w:before="0" w:after="200"/>
            </w:pPr>
          </w:p>
        </w:tc>
      </w:tr>
      <w:tr w14:paraId="6F1BE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4826D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839DD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Primici od zaduživanja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52B53D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42426B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A2230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1E140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</w:tcPr>
          <w:p w14:paraId="5738A5CA">
            <w:pPr>
              <w:widowControl w:val="0"/>
              <w:spacing w:before="0" w:after="200"/>
            </w:pPr>
          </w:p>
        </w:tc>
      </w:tr>
      <w:tr w14:paraId="0CC22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FCE46D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94787D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674C90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E0E510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807638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A0A94C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</w:tcPr>
          <w:p w14:paraId="3FFC86FB">
            <w:pPr>
              <w:widowControl w:val="0"/>
              <w:spacing w:before="0" w:after="200"/>
            </w:pPr>
          </w:p>
        </w:tc>
      </w:tr>
      <w:tr w14:paraId="02E29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48EC03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 w14:paraId="0870CA53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D51CD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A7EF4D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D38C28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980B49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</w:tcPr>
          <w:p w14:paraId="04D22DDE">
            <w:pPr>
              <w:widowControl w:val="0"/>
              <w:spacing w:before="0" w:after="200"/>
            </w:pPr>
          </w:p>
        </w:tc>
      </w:tr>
      <w:tr w14:paraId="23ADF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5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511041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9CC383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Izdaci za financijsku imovinu i otplate zajmova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7FBB11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452A61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EF1C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E566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</w:tcPr>
          <w:p w14:paraId="7106ADAE">
            <w:pPr>
              <w:widowControl w:val="0"/>
              <w:spacing w:before="0" w:after="200"/>
            </w:pPr>
          </w:p>
        </w:tc>
      </w:tr>
      <w:tr w14:paraId="6D145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5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A3931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72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33BFE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Izdaci za otplatu glavnice primljenih kredita i zajmova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958E03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0DAB83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11BCDE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A1A31C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</w:tcPr>
          <w:p w14:paraId="79A09816">
            <w:pPr>
              <w:widowControl w:val="0"/>
              <w:spacing w:before="0" w:after="200"/>
            </w:pPr>
          </w:p>
        </w:tc>
      </w:tr>
      <w:tr w14:paraId="503BC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58" w:type="dxa"/>
            <w:vAlign w:val="center"/>
          </w:tcPr>
          <w:p w14:paraId="18DB7C01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7" w:type="dxa"/>
            <w:vAlign w:val="bottom"/>
          </w:tcPr>
          <w:p w14:paraId="6B914D22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74" w:type="dxa"/>
            <w:vAlign w:val="bottom"/>
          </w:tcPr>
          <w:p w14:paraId="5CB5D873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433" w:type="dxa"/>
            <w:vAlign w:val="bottom"/>
          </w:tcPr>
          <w:p w14:paraId="0DC94E37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vAlign w:val="bottom"/>
          </w:tcPr>
          <w:p w14:paraId="1FDB6370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vAlign w:val="bottom"/>
          </w:tcPr>
          <w:p w14:paraId="2156EC12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19" w:type="dxa"/>
          </w:tcPr>
          <w:p w14:paraId="1FA50D02">
            <w:pPr>
              <w:widowControl w:val="0"/>
              <w:spacing w:before="0" w:after="200"/>
            </w:pPr>
          </w:p>
        </w:tc>
      </w:tr>
      <w:tr w14:paraId="79387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158" w:type="dxa"/>
            <w:vAlign w:val="bottom"/>
          </w:tcPr>
          <w:p w14:paraId="7799D134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727" w:type="dxa"/>
            <w:vAlign w:val="bottom"/>
          </w:tcPr>
          <w:p w14:paraId="33E80D5E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74" w:type="dxa"/>
            <w:vAlign w:val="bottom"/>
          </w:tcPr>
          <w:p w14:paraId="01708C43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433" w:type="dxa"/>
            <w:vAlign w:val="bottom"/>
          </w:tcPr>
          <w:p w14:paraId="22B4D7EC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vAlign w:val="bottom"/>
          </w:tcPr>
          <w:p w14:paraId="1E8BCE6F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vAlign w:val="bottom"/>
          </w:tcPr>
          <w:p w14:paraId="6A0B7D62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19" w:type="dxa"/>
          </w:tcPr>
          <w:p w14:paraId="1DA48E12">
            <w:pPr>
              <w:widowControl w:val="0"/>
              <w:spacing w:before="0" w:after="200"/>
            </w:pPr>
          </w:p>
        </w:tc>
      </w:tr>
      <w:tr w14:paraId="267EF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557" w:type="dxa"/>
            <w:gridSpan w:val="6"/>
            <w:vAlign w:val="center"/>
          </w:tcPr>
          <w:p w14:paraId="563D2ADF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B.2. RAČUN FINANCIRANJA PREMA IZVORIMA FINANCIRANJA</w:t>
            </w:r>
          </w:p>
        </w:tc>
        <w:tc>
          <w:tcPr>
            <w:tcW w:w="219" w:type="dxa"/>
          </w:tcPr>
          <w:p w14:paraId="2AD0E066">
            <w:pPr>
              <w:widowControl w:val="0"/>
              <w:spacing w:before="0" w:after="200"/>
            </w:pPr>
          </w:p>
        </w:tc>
      </w:tr>
      <w:tr w14:paraId="23086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58" w:type="dxa"/>
            <w:vAlign w:val="bottom"/>
          </w:tcPr>
          <w:p w14:paraId="5FCF4B8D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727" w:type="dxa"/>
            <w:vAlign w:val="bottom"/>
          </w:tcPr>
          <w:p w14:paraId="76421112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74" w:type="dxa"/>
            <w:vAlign w:val="bottom"/>
          </w:tcPr>
          <w:p w14:paraId="57E7F40B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433" w:type="dxa"/>
            <w:vAlign w:val="bottom"/>
          </w:tcPr>
          <w:p w14:paraId="7F271BEE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335" w:type="dxa"/>
            <w:vAlign w:val="bottom"/>
          </w:tcPr>
          <w:p w14:paraId="01E91FE2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530" w:type="dxa"/>
            <w:vAlign w:val="bottom"/>
          </w:tcPr>
          <w:p w14:paraId="518B93B3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219" w:type="dxa"/>
          </w:tcPr>
          <w:p w14:paraId="5733AD95">
            <w:pPr>
              <w:widowControl w:val="0"/>
              <w:spacing w:before="0" w:after="200"/>
            </w:pPr>
          </w:p>
        </w:tc>
      </w:tr>
      <w:tr w14:paraId="44B99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85" w:type="dxa"/>
            <w:gridSpan w:val="2"/>
            <w:vMerge w:val="restart"/>
            <w:tcBorders>
              <w:top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114AA3E3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Brojčana oznaka i naziv</w:t>
            </w:r>
          </w:p>
        </w:tc>
        <w:tc>
          <w:tcPr>
            <w:tcW w:w="137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D1665AC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PLAN 2025.</w:t>
            </w:r>
          </w:p>
        </w:tc>
        <w:tc>
          <w:tcPr>
            <w:tcW w:w="14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07FEDF0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Povećanje/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br w:type="textWrapping"/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smanjenje</w:t>
            </w:r>
          </w:p>
        </w:tc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7D0EDBF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PROMJENA (%)</w:t>
            </w:r>
          </w:p>
        </w:tc>
        <w:tc>
          <w:tcPr>
            <w:tcW w:w="15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6041B90A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I IZMJENA 2025.</w:t>
            </w:r>
          </w:p>
        </w:tc>
        <w:tc>
          <w:tcPr>
            <w:tcW w:w="219" w:type="dxa"/>
          </w:tcPr>
          <w:p w14:paraId="72FD573C">
            <w:pPr>
              <w:widowControl w:val="0"/>
              <w:spacing w:before="0" w:after="200"/>
            </w:pPr>
          </w:p>
        </w:tc>
      </w:tr>
      <w:tr w14:paraId="74001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vMerge w:val="continue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 w14:paraId="53CAA464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37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8DF566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4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CD48DE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03B26E17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15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 w14:paraId="735D85E4">
            <w:pPr>
              <w:widowControl/>
              <w:bidi w:val="0"/>
              <w:spacing w:before="0" w:after="200" w:line="276" w:lineRule="auto"/>
              <w:jc w:val="left"/>
            </w:pPr>
          </w:p>
        </w:tc>
        <w:tc>
          <w:tcPr>
            <w:tcW w:w="219" w:type="dxa"/>
            <w:vAlign w:val="bottom"/>
          </w:tcPr>
          <w:p w14:paraId="311EEB1B">
            <w:pPr>
              <w:widowControl w:val="0"/>
              <w:spacing w:before="0"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</w:p>
        </w:tc>
      </w:tr>
      <w:tr w14:paraId="594DB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D8CCDF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PRIMICI UKUPNO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268793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765CB1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8D5CE5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7856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7232E879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4AF58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26F2B5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8 Namjenski primici od zaduživanja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87E24B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1C8F73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F7BAA2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B79520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01EDD1E6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23EE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811F7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81 Namjenski primici od zaduživanja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3BC3A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2CFE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36D15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D9EEE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5A90EE20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0ECA3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  <w:vAlign w:val="center"/>
          </w:tcPr>
          <w:p w14:paraId="680A8C4D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74" w:type="dxa"/>
            <w:tcBorders>
              <w:bottom w:val="single" w:color="000000" w:sz="8" w:space="0"/>
            </w:tcBorders>
            <w:shd w:val="clear" w:color="auto" w:fill="FFFFFF"/>
            <w:vAlign w:val="center"/>
          </w:tcPr>
          <w:p w14:paraId="5841F44E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433" w:type="dxa"/>
            <w:tcBorders>
              <w:bottom w:val="single" w:color="000000" w:sz="8" w:space="0"/>
            </w:tcBorders>
            <w:shd w:val="clear" w:color="auto" w:fill="FFFFFF"/>
            <w:vAlign w:val="center"/>
          </w:tcPr>
          <w:p w14:paraId="48276A86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35" w:type="dxa"/>
            <w:tcBorders>
              <w:bottom w:val="single" w:color="000000" w:sz="8" w:space="0"/>
            </w:tcBorders>
            <w:shd w:val="clear" w:color="auto" w:fill="FFFFFF"/>
            <w:vAlign w:val="center"/>
          </w:tcPr>
          <w:p w14:paraId="1429A5F2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6ABB03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" w:type="dxa"/>
            <w:vAlign w:val="center"/>
          </w:tcPr>
          <w:p w14:paraId="4AB15DCF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00F5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6CFC44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IZDACI UKUPNO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CC3A8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816B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C5FDF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C0F0E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3218C55F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72BE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6EC81C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1 Opći prihodi i primici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1441D4B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700771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D71EF8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D903F5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6E03053A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66678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67364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11 Opći prihodi i primici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460EAD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2E3461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BB8522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4DCB45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3B9C35CF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7E0D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304CDE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>3 Vlastiti prihodi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269AD4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F78676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4BA14C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B5FB7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3A573BDD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  <w:tr w14:paraId="243A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8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91B660">
            <w:pPr>
              <w:widowControl w:val="0"/>
              <w:spacing w:before="0"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 31 Vlastiti prihodi</w:t>
            </w:r>
          </w:p>
        </w:tc>
        <w:tc>
          <w:tcPr>
            <w:tcW w:w="1374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B292D9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43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A0310A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335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E8111C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153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06780F">
            <w:pPr>
              <w:widowControl w:val="0"/>
              <w:spacing w:before="0" w:after="0" w:line="240" w:lineRule="auto"/>
              <w:jc w:val="right"/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hAnsi="Arial" w:eastAsia="Times New Roman" w:cs="Arial"/>
                <w:color w:val="000000"/>
                <w:sz w:val="16"/>
                <w:szCs w:val="16"/>
                <w:lang w:eastAsia="hr-HR"/>
              </w:rPr>
              <w:t> 0,00</w:t>
            </w:r>
          </w:p>
        </w:tc>
        <w:tc>
          <w:tcPr>
            <w:tcW w:w="219" w:type="dxa"/>
            <w:vAlign w:val="center"/>
          </w:tcPr>
          <w:p w14:paraId="59F11877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</w:pPr>
          </w:p>
        </w:tc>
      </w:tr>
    </w:tbl>
    <w:p w14:paraId="234378E8">
      <w:pPr>
        <w:spacing w:before="0" w:after="0"/>
        <w:jc w:val="center"/>
        <w:rPr>
          <w:rFonts w:ascii="Times New Roman" w:hAnsi="Times New Roman" w:eastAsia="Calibri" w:cs="Times New Roman"/>
          <w:b/>
          <w:sz w:val="16"/>
          <w:szCs w:val="16"/>
        </w:rPr>
      </w:pPr>
    </w:p>
    <w:p w14:paraId="414D9ACA">
      <w:pPr>
        <w:spacing w:before="0" w:after="0"/>
        <w:jc w:val="center"/>
        <w:rPr>
          <w:rFonts w:ascii="Times New Roman" w:hAnsi="Times New Roman" w:eastAsia="Calibri" w:cs="Times New Roman"/>
          <w:b/>
          <w:sz w:val="16"/>
          <w:szCs w:val="16"/>
        </w:rPr>
      </w:pPr>
    </w:p>
    <w:p w14:paraId="13548A4A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</w:rPr>
      </w:pPr>
    </w:p>
    <w:p w14:paraId="16B9A0F9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</w:rPr>
      </w:pPr>
    </w:p>
    <w:p w14:paraId="0F1B770D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0EF0973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2DEFCED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D4A6717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E07ACEA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9FAA5DA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D3672F1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3B8B00DA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F9D5CC4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5247BFA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A062A89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6AF76372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5C7DE70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14080E4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33D3174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137E12CB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72334A0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7307F128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A6377F5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0FACD3B3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42F8BE9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40B54AD6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 w14:paraId="53624627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OBRAZLOŽENJE OPĆEG DIJELA FINANCIJSKOG PLANA</w:t>
      </w:r>
    </w:p>
    <w:p w14:paraId="6EC96180">
      <w:pPr>
        <w:spacing w:before="0" w:after="200"/>
        <w:contextualSpacing/>
        <w:rPr>
          <w:rFonts w:ascii="Times New Roman" w:hAnsi="Times New Roman" w:eastAsia="Calibri" w:cs="Times New Roman"/>
          <w:sz w:val="24"/>
        </w:rPr>
      </w:pPr>
      <w:r>
        <w:rPr>
          <w:rFonts w:ascii="Times New Roman" w:hAnsi="Times New Roman" w:eastAsia="Calibri" w:cs="Times New Roman"/>
          <w:sz w:val="24"/>
        </w:rPr>
        <w:t xml:space="preserve">. </w:t>
      </w:r>
    </w:p>
    <w:p w14:paraId="5B8FB372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</w:rPr>
      </w:pPr>
    </w:p>
    <w:tbl>
      <w:tblPr>
        <w:tblStyle w:val="5"/>
        <w:tblW w:w="10915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04E15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913D1">
            <w:pPr>
              <w:widowControl w:val="0"/>
              <w:spacing w:before="0" w:after="200"/>
              <w:ind w:left="33" w:right="0" w:hanging="33"/>
              <w:contextualSpacing/>
              <w:rPr>
                <w:rFonts w:cs="Calibri"/>
              </w:rPr>
            </w:pPr>
          </w:p>
          <w:p w14:paraId="604AFA7E">
            <w:pPr>
              <w:widowControl w:val="0"/>
              <w:spacing w:before="0" w:after="200"/>
              <w:ind w:left="33" w:right="0" w:hanging="3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PRIHODI I PRIMICI</w:t>
            </w:r>
          </w:p>
          <w:p w14:paraId="46691BEC">
            <w:pPr>
              <w:pStyle w:val="47"/>
              <w:widowControl w:val="0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Prihodi financijskog plana Centra za pružanje usluga u zajednici Grada Crikvenica sastoje se od prihoda iz nadležnog proračuna , vlastitih prihoda od uplata korisnika, pomoći iz državnog proračuna JLPRS .</w:t>
            </w:r>
          </w:p>
          <w:p w14:paraId="011FC26E">
            <w:pPr>
              <w:widowControl w:val="0"/>
              <w:spacing w:before="0" w:after="200"/>
              <w:ind w:left="33" w:right="0" w:hanging="33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Rashodi poslovanja obuhvaćaju rashode za zaposlene, materijalne rashode i rashode za nabavu proizvedene    dugotrajne imovine.</w:t>
            </w:r>
          </w:p>
          <w:p w14:paraId="3D5D57AC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Ukupni prihodi planiraju se povećati za 70.903,12 EUR, te će iznositi 392.978,12 €, gdje je uključen i preneseni manjak od 17.368,12 €.</w:t>
            </w:r>
          </w:p>
          <w:p w14:paraId="3719A79C">
            <w:pPr>
              <w:widowControl w:val="0"/>
              <w:jc w:val="both"/>
              <w:rPr>
                <w:rFonts w:ascii="Times New Roman" w:hAnsi="Times New Roman" w:eastAsia="Times New Roman"/>
                <w:lang w:eastAsia="hr-HR"/>
              </w:rPr>
            </w:pPr>
            <w:r>
              <w:rPr>
                <w:rFonts w:ascii="Times New Roman" w:hAnsi="Times New Roman" w:eastAsia="Times New Roman"/>
                <w:lang w:eastAsia="hr-HR"/>
              </w:rPr>
              <w:t>RASHODI I IZDACI</w:t>
            </w:r>
          </w:p>
          <w:p w14:paraId="06963920">
            <w:pPr>
              <w:pStyle w:val="47"/>
              <w:widowControl w:val="0"/>
              <w:numPr>
                <w:ilvl w:val="0"/>
                <w:numId w:val="4"/>
              </w:numPr>
              <w:ind w:left="459" w:right="0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Ukupni rashodi povećavaju se za 53.535,00  €, te sada iznose 375.610,00 €.</w:t>
            </w:r>
          </w:p>
          <w:p w14:paraId="7AC2F797">
            <w:pPr>
              <w:widowControl w:val="0"/>
              <w:spacing w:before="0" w:after="200"/>
              <w:contextualSpacing/>
              <w:rPr>
                <w:rFonts w:ascii="Times New Roman" w:hAnsi="Times New Roman" w:eastAsia="Calibri"/>
                <w:bCs/>
              </w:rPr>
            </w:pPr>
          </w:p>
          <w:p w14:paraId="6D7DED49">
            <w:pPr>
              <w:widowControl w:val="0"/>
              <w:spacing w:before="0" w:after="200"/>
              <w:contextualSpacing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>OBRAZLOŽENJE PRENESENOG REZULTATA</w:t>
            </w:r>
          </w:p>
          <w:p w14:paraId="731F9840">
            <w:pPr>
              <w:widowControl w:val="0"/>
              <w:spacing w:before="0" w:after="200"/>
              <w:contextualSpacing/>
              <w:rPr>
                <w:rFonts w:ascii="Times New Roman" w:hAnsi="Times New Roman" w:eastAsia="Calibri"/>
                <w:bCs/>
              </w:rPr>
            </w:pPr>
          </w:p>
          <w:p w14:paraId="0B4E6767">
            <w:pPr>
              <w:widowControl w:val="0"/>
              <w:spacing w:before="0" w:after="200" w:line="360" w:lineRule="auto"/>
              <w:contextualSpacing/>
              <w:rPr>
                <w:rFonts w:ascii="Times New Roman" w:hAnsi="Times New Roman" w:eastAsia="Calibri"/>
                <w:bCs/>
              </w:rPr>
            </w:pPr>
            <w:r>
              <w:rPr>
                <w:rFonts w:ascii="Times New Roman" w:hAnsi="Times New Roman" w:eastAsia="Calibri"/>
                <w:bCs/>
              </w:rPr>
              <w:t xml:space="preserve">Iz 2024. godine preneseni manjak od 17.368,12 EUR odnosi se na manjak iz prihoda proračuna, tzv. metodološki manjak, a nastao je  budući da se rashodi priznaju prema nastanku događaja a prihodi  po gotovinskom načelu, što znači da korisnici u riznici knjiže prihode u trenutku plaćanja računa iz riznice. Tako se rashodi za prosinac prethodne godine  nalaze u ukupnim rashodima prethodne godine, a za njih su doznačena sredstava tek u siječnju naredne godine nakon pristiglih računa i podnesenog zahtjeva proračunskih korisnika te predstavljaju prihod tekuće godine. Isto se uravnotežilo u I Izmjenama i dopunama proračuna u kojima se planirao višak prihoda za taj iznos. </w:t>
            </w:r>
          </w:p>
          <w:p w14:paraId="2CD900ED">
            <w:pPr>
              <w:widowControl w:val="0"/>
              <w:spacing w:before="0" w:after="200"/>
              <w:contextualSpacing/>
              <w:rPr>
                <w:rFonts w:ascii="Times New Roman" w:hAnsi="Times New Roman" w:eastAsia="Calibri"/>
                <w:bCs/>
              </w:rPr>
            </w:pPr>
          </w:p>
          <w:p w14:paraId="10541B32">
            <w:pPr>
              <w:widowControl w:val="0"/>
              <w:spacing w:before="0" w:after="200"/>
              <w:contextualSpacing/>
              <w:rPr>
                <w:rFonts w:ascii="Times New Roman" w:hAnsi="Times New Roman" w:eastAsia="Calibri"/>
                <w:b/>
              </w:rPr>
            </w:pPr>
          </w:p>
          <w:p w14:paraId="2F74F295">
            <w:pPr>
              <w:widowControl w:val="0"/>
              <w:jc w:val="both"/>
              <w:rPr>
                <w:rFonts w:ascii="Times New Roman" w:hAnsi="Times New Roman" w:eastAsia="Times New Roman"/>
                <w:lang w:eastAsia="hr-HR"/>
              </w:rPr>
            </w:pPr>
            <w:r>
              <w:rPr>
                <w:rFonts w:ascii="Times New Roman" w:hAnsi="Times New Roman" w:eastAsia="Times New Roman"/>
                <w:lang w:eastAsia="hr-HR"/>
              </w:rPr>
              <w:t>PRIJENOS SREDSTAVA IZ PRETHODNE I U SLJEDEĆU GODINU</w:t>
            </w:r>
          </w:p>
          <w:p w14:paraId="65E36D34">
            <w:pPr>
              <w:widowControl w:val="0"/>
              <w:spacing w:before="0" w:after="200"/>
              <w:jc w:val="both"/>
              <w:rPr>
                <w:rFonts w:eastAsia="Times New Roman" w:cs="Calibri"/>
                <w:lang w:eastAsia="hr-HR"/>
              </w:rPr>
            </w:pPr>
            <w:r>
              <w:rPr>
                <w:rFonts w:eastAsia="Times New Roman" w:cs="Calibri"/>
                <w:lang w:eastAsia="hr-HR"/>
              </w:rPr>
              <w:t>Ne planira se prijenos viška/manjka sredstava u narednu godinu</w:t>
            </w:r>
          </w:p>
        </w:tc>
      </w:tr>
    </w:tbl>
    <w:p w14:paraId="6A85F52A">
      <w:pPr>
        <w:spacing w:before="0" w:after="200"/>
        <w:contextualSpacing/>
        <w:jc w:val="center"/>
        <w:rPr>
          <w:rFonts w:ascii="Times New Roman" w:hAnsi="Times New Roman" w:eastAsia="Calibri" w:cs="Times New Roman"/>
          <w:b/>
        </w:rPr>
      </w:pPr>
    </w:p>
    <w:p w14:paraId="20CD1794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24479F12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0F5F4F38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5C2ED906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  <w:r>
        <w:rPr>
          <w:rFonts w:ascii="Times New Roman" w:hAnsi="Times New Roman" w:eastAsia="Calibri" w:cs="Times New Roman"/>
          <w:b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-52070</wp:posOffset>
            </wp:positionH>
            <wp:positionV relativeFrom="paragraph">
              <wp:posOffset>635</wp:posOffset>
            </wp:positionV>
            <wp:extent cx="6189980" cy="6867525"/>
            <wp:effectExtent l="0" t="0" r="0" b="0"/>
            <wp:wrapTight wrapText="bothSides">
              <wp:wrapPolygon>
                <wp:start x="-3" y="0"/>
                <wp:lineTo x="-3" y="21568"/>
                <wp:lineTo x="19010" y="21568"/>
                <wp:lineTo x="19208" y="21508"/>
                <wp:lineTo x="21535" y="21149"/>
                <wp:lineTo x="21535" y="8207"/>
                <wp:lineTo x="20538" y="7847"/>
                <wp:lineTo x="21535" y="7548"/>
                <wp:lineTo x="21535" y="7008"/>
                <wp:lineTo x="19010" y="6709"/>
                <wp:lineTo x="21535" y="6589"/>
                <wp:lineTo x="21535" y="2335"/>
                <wp:lineTo x="21402" y="2275"/>
                <wp:lineTo x="19010" y="1915"/>
                <wp:lineTo x="21535" y="1855"/>
                <wp:lineTo x="21535" y="0"/>
                <wp:lineTo x="-3" y="0"/>
              </wp:wrapPolygon>
            </wp:wrapTight>
            <wp:docPr id="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9980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B6361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33823F82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21F40638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04BE1A47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77856FBB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33197780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6DAE1D57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3389F3E8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05AC8DE3">
      <w:pPr>
        <w:spacing w:before="0" w:after="0"/>
        <w:ind w:left="928" w:right="0" w:firstLine="0"/>
        <w:contextualSpacing/>
        <w:rPr>
          <w:rFonts w:ascii="Times New Roman" w:hAnsi="Times New Roman" w:eastAsia="Calibri" w:cs="Times New Roman"/>
          <w:b/>
          <w:sz w:val="24"/>
        </w:rPr>
      </w:pPr>
    </w:p>
    <w:p w14:paraId="6CCD7E56">
      <w:pPr>
        <w:numPr>
          <w:ilvl w:val="0"/>
          <w:numId w:val="1"/>
        </w:numPr>
        <w:spacing w:before="0" w:after="0"/>
        <w:contextualSpacing/>
        <w:rPr>
          <w:rFonts w:ascii="Times New Roman" w:hAnsi="Times New Roman" w:eastAsia="Calibri" w:cs="Times New Roman"/>
          <w:b/>
          <w:sz w:val="24"/>
          <w:shd w:val="clear" w:fill="FFFF00"/>
        </w:rPr>
      </w:pPr>
      <w:r>
        <w:rPr>
          <w:rFonts w:ascii="Times New Roman" w:hAnsi="Times New Roman" w:eastAsia="Calibri" w:cs="Times New Roman"/>
          <w:b/>
          <w:sz w:val="24"/>
          <w:shd w:val="clear" w:fill="FFFF00"/>
        </w:rPr>
        <w:t>OBRAZLOŽENJE PROGRAMA</w:t>
      </w:r>
    </w:p>
    <w:p w14:paraId="74D7943D">
      <w:pPr>
        <w:spacing w:before="0" w:after="0"/>
        <w:rPr>
          <w:rFonts w:ascii="Times New Roman" w:hAnsi="Times New Roman" w:eastAsia="Calibri" w:cs="Times New Roman"/>
          <w:sz w:val="24"/>
        </w:rPr>
      </w:pPr>
    </w:p>
    <w:tbl>
      <w:tblPr>
        <w:tblStyle w:val="5"/>
        <w:tblW w:w="11057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7"/>
      </w:tblGrid>
      <w:tr w14:paraId="12382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0D03B">
            <w:pPr>
              <w:widowControl w:val="0"/>
              <w:spacing w:before="0" w:after="0" w:line="240" w:lineRule="auto"/>
            </w:pPr>
            <w:bookmarkStart w:id="1" w:name="docs-internal-guid-60d349a2-7fff-1055-db"/>
            <w:bookmarkEnd w:id="1"/>
            <w:r>
              <w:rPr>
                <w:rFonts w:ascii="Times New Roman;serif" w:hAnsi="Times New Roman;serif" w:eastAsia="Times New Roman" w:cs="Times New Roman"/>
                <w:b/>
                <w:bCs/>
                <w:i/>
                <w:iCs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lang w:eastAsia="hr-HR"/>
              </w:rPr>
              <w:t>PROGRAM 1 – 3201 Socijalni program grada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</w:p>
        </w:tc>
      </w:tr>
      <w:tr w14:paraId="01BCF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35BC8">
            <w:pPr>
              <w:widowControl w:val="0"/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hr-HR"/>
              </w:rPr>
              <w:t>Opis programa, svrha programa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hr-HR"/>
              </w:rPr>
              <w:t>:</w:t>
            </w:r>
            <w:bookmarkStart w:id="2" w:name="docs-internal-guid-7aaaf354-7fff-fb55-04"/>
            <w:bookmarkEnd w:id="2"/>
          </w:p>
          <w:p w14:paraId="58F15BCB">
            <w:pPr>
              <w:pStyle w:val="7"/>
            </w:pPr>
          </w:p>
          <w:p w14:paraId="01824F19">
            <w:pPr>
              <w:pStyle w:val="7"/>
              <w:numPr>
                <w:ilvl w:val="0"/>
                <w:numId w:val="5"/>
              </w:numPr>
              <w:tabs>
                <w:tab w:val="left" w:pos="0"/>
              </w:tabs>
              <w:bidi w:val="0"/>
              <w:spacing w:before="0" w:after="160" w:line="307" w:lineRule="auto"/>
              <w:ind w:left="1429" w:right="0" w:hanging="283"/>
              <w:jc w:val="both"/>
              <w:rPr>
                <w:rFonts w:ascii="Calibri;sans-serif" w:hAnsi="Calibri;sans-serif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Aktivnost A320105 POMOĆ STARIJIM I NEMOĆNIM OSOBAMA </w:t>
            </w:r>
          </w:p>
          <w:p w14:paraId="0C69672E">
            <w:pPr>
              <w:pStyle w:val="7"/>
              <w:bidi w:val="0"/>
              <w:spacing w:before="0" w:after="200" w:line="331" w:lineRule="auto"/>
              <w:ind w:left="720" w:right="0" w:firstLine="0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Program je usmjeren na redovan rad, a odnosi se na plaće i prava djelatnika Centra, na  materijalne i financijske rashode koji su potrebni za funkcioniranje djelatnosti. Izvor financiranja su ostali prihodi i primici Grada, ministarstva, vlastiti prihodi tj. uplate korisnika te EU fondovi.</w:t>
            </w:r>
          </w:p>
          <w:p w14:paraId="313BBB24">
            <w:pPr>
              <w:pStyle w:val="7"/>
              <w:bidi w:val="0"/>
              <w:spacing w:before="0" w:after="160" w:line="307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U Centru je zaposleno  9 djelatnika: ravnateljica, voditeljica odsjeka pomoć u kući, 6 gerontodomaćica i 1 pomoćni radnik. U projekciji plana za 202.-2025. planiraju se povećani rashodi i prihodi Grada zbog  proširenja djelatnosti. Tokom godine planira se započeti sa dežurstvima gerontodomaćica i u dane vikenda što dovodi do potrebe zaošljavanja još jedne gerontodomaćice. Osim toga plan je u Centru zaposliti i logopeda kako bi se i ta usluga počela provoditi na području Grada Crikvenice. Stoga je planirano i povećanje plaća i pripadajućih rashoda za zaposlene.</w:t>
            </w:r>
          </w:p>
          <w:p w14:paraId="5393866E">
            <w:pPr>
              <w:pStyle w:val="7"/>
              <w:spacing w:before="0" w:after="120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</w:tc>
      </w:tr>
      <w:tr w14:paraId="1D08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BA751">
            <w:pPr>
              <w:widowControl w:val="0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Ciljevi provedbe programa u razdoblju 2025.-2027.</w:t>
            </w:r>
          </w:p>
          <w:p w14:paraId="19AE4B73">
            <w:pPr>
              <w:pStyle w:val="7"/>
              <w:bidi w:val="0"/>
              <w:spacing w:before="0" w:after="0" w:line="331" w:lineRule="auto"/>
              <w:ind w:left="0" w:right="0" w:firstLine="708"/>
              <w:jc w:val="both"/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FFFFFF"/>
              </w:rPr>
              <w:t>Cilj programa usmjeren je na povećanje i p</w:t>
            </w: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oboljšanje kvalitete života starijih i nemoćnih osoba u zajednici zalaganjem za nove politike socijalne skrbi i pružanjem različitih izvaninstitucionalnih oblika usluga socijalne skrbi. Razvoj socijalne kohezije u zajednici.</w:t>
            </w:r>
          </w:p>
          <w:p w14:paraId="69D49E5D">
            <w:pPr>
              <w:pStyle w:val="7"/>
              <w:widowControl w:val="0"/>
              <w:jc w:val="both"/>
              <w:rPr>
                <w:rFonts w:cs="Calibri"/>
                <w:i/>
                <w:sz w:val="18"/>
                <w:szCs w:val="18"/>
              </w:rPr>
            </w:pPr>
          </w:p>
          <w:p w14:paraId="2F762AB0">
            <w:pPr>
              <w:pStyle w:val="47"/>
              <w:widowControl w:val="0"/>
              <w:jc w:val="both"/>
              <w:rPr>
                <w:rFonts w:cs="Calibri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927850" cy="1798320"/>
                      <wp:effectExtent l="0" t="0" r="0" b="0"/>
                      <wp:wrapSquare wrapText="bothSides"/>
                      <wp:docPr id="6" name="Fra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27850" cy="179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5"/>
                                    <w:tblW w:w="10910" w:type="dxa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5" w:type="dxa"/>
                                      <w:bottom w:w="0" w:type="dxa"/>
                                      <w:right w:w="5" w:type="dxa"/>
                                    </w:tblCellMar>
                                  </w:tblPr>
                                  <w:tblGrid>
                                    <w:gridCol w:w="1961"/>
                                    <w:gridCol w:w="1861"/>
                                    <w:gridCol w:w="1125"/>
                                    <w:gridCol w:w="1189"/>
                                    <w:gridCol w:w="919"/>
                                    <w:gridCol w:w="1113"/>
                                    <w:gridCol w:w="1141"/>
                                    <w:gridCol w:w="1601"/>
                                  </w:tblGrid>
                                  <w:tr w14:paraId="4F3BEC32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rPr>
                                      <w:trHeight w:val="694" w:hRule="atLeast"/>
                                    </w:trPr>
                                    <w:tc>
                                      <w:tcPr>
                                        <w:tcW w:w="196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1BB85BC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Pokazatelj učinka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6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1DA416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Definicija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0C63F421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Jedinica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75FC1C7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Polazna vrijednost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4159006C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Izvor podataka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7399C57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4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4D73A63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0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7AC7857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2027.</w:t>
                                        </w:r>
                                      </w:p>
                                    </w:tc>
                                  </w:tr>
                                  <w:tr w14:paraId="51750C0D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c>
                                      <w:tcPr>
                                        <w:tcW w:w="196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vAlign w:val="center"/>
                                      </w:tcPr>
                                      <w:p w14:paraId="3933B32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Povećanje broja korisnika usluga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6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vAlign w:val="center"/>
                                      </w:tcPr>
                                      <w:p w14:paraId="53057441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Organiziranjem usluga Centra omogućuje se osobama kojima je nužna pomoć u kućanskim poslovima , što suže ostati u svom kućanstvu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2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vAlign w:val="center"/>
                                      </w:tcPr>
                                      <w:p w14:paraId="477BEEF1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Broj korisnika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vAlign w:val="center"/>
                                      </w:tcPr>
                                      <w:p w14:paraId="54EA313C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vAlign w:val="center"/>
                                      </w:tcPr>
                                      <w:p w14:paraId="1E76D8C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Centar za pružanje usluga u zajednici Grada Crikvenice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vAlign w:val="center"/>
                                      </w:tcPr>
                                      <w:p w14:paraId="48E4EECC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4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2B985B1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0D6C400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3BF0E395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0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2C54B69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0C50B3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15151F4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</w:tr>
                                </w:tbl>
                                <w:p w14:paraId="362D1862"/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ame1" o:spid="_x0000_s1026" o:spt="202" type="#_x0000_t202" style="position:absolute;left:0pt;margin-left:0pt;margin-top:0.05pt;height:141.6pt;width:545.5pt;mso-position-horizontal-relative:margin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FoUm99IAAAAGAQAADwAAAAAAAAABACAAAAAiAAAAZHJzL2Rvd25y&#10;ZXYueG1sUEsBAhQAFAAAAAgAh07iQLrWurPLAQAAtQMAAA4AAAAAAAAAAQAgAAAAIQEAAGRycy9l&#10;Mm9Eb2MueG1sUEsFBgAAAAAGAAYAWQEAAF4FAAAAAA==&#10;">
                      <v:fill on="t" opacity="0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tbl>
                            <w:tblPr>
                              <w:tblStyle w:val="5"/>
                              <w:tblW w:w="10910" w:type="dxa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961"/>
                              <w:gridCol w:w="1861"/>
                              <w:gridCol w:w="1125"/>
                              <w:gridCol w:w="1189"/>
                              <w:gridCol w:w="919"/>
                              <w:gridCol w:w="1113"/>
                              <w:gridCol w:w="1141"/>
                              <w:gridCol w:w="1601"/>
                            </w:tblGrid>
                            <w:tr w14:paraId="4F3BEC32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1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1BB85BC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Pokazatelj učinka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1DA416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Definicija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0C63F421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Jedinica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75FC1C7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Polazna vrijednost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4159006C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Izvor podataka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7399C57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2025.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4D73A63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2026.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7AC7857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2027.</w:t>
                                  </w:r>
                                </w:p>
                              </w:tc>
                            </w:tr>
                            <w:tr w14:paraId="51750C0D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c>
                                <w:tcPr>
                                  <w:tcW w:w="19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3933B32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Povećanje broja korisnika usluga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3057441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Organiziranjem usluga Centra omogućuje se osobama kojima je nužna pomoć u kućanskim poslovima , što suže ostati u svom kućanstvu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77BEEF1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Broj korisnika</w:t>
                                  </w:r>
                                </w:p>
                              </w:tc>
                              <w:tc>
                                <w:tcPr>
                                  <w:tcW w:w="118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54EA313C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1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1E76D8C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Centar za pružanje usluga u zajednici Grada Crikvenice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14:paraId="48E4EECC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B985B1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0D6C400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3BF0E395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2C54B69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0C50B3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15151F4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362D186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CB86C7A">
            <w:pPr>
              <w:widowControl w:val="0"/>
              <w:spacing w:before="0" w:after="200"/>
              <w:contextualSpacing/>
              <w:jc w:val="both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hr-HR"/>
              </w:rPr>
            </w:pPr>
          </w:p>
        </w:tc>
      </w:tr>
    </w:tbl>
    <w:p w14:paraId="7D2A3C7C">
      <w:pPr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38CBD3EA">
      <w:pPr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6F4D717D">
      <w:pPr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4BA9124C">
      <w:pPr>
        <w:numPr>
          <w:ilvl w:val="0"/>
          <w:numId w:val="6"/>
        </w:numPr>
        <w:spacing w:before="0" w:after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Procjena i ishodište potrebnih sredstava za aktivnosti/projekte unutar programa</w:t>
      </w:r>
    </w:p>
    <w:tbl>
      <w:tblPr>
        <w:tblStyle w:val="5"/>
        <w:tblW w:w="10632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 w14:paraId="1F8BA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B4810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3" w:name="_Hlk118876443"/>
            <w:bookmarkEnd w:id="3"/>
          </w:p>
          <w:tbl>
            <w:tblPr>
              <w:tblStyle w:val="5"/>
              <w:tblW w:w="9560" w:type="dxa"/>
              <w:tblInd w:w="446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0"/>
              <w:gridCol w:w="1520"/>
              <w:gridCol w:w="1520"/>
              <w:gridCol w:w="1599"/>
              <w:gridCol w:w="1581"/>
            </w:tblGrid>
            <w:tr w14:paraId="10A908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34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1B20B765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 xml:space="preserve"> NAZIV PROGRAMA     </w:t>
                  </w:r>
                </w:p>
              </w:tc>
              <w:tc>
                <w:tcPr>
                  <w:tcW w:w="152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619CCE24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 2025.</w:t>
                  </w:r>
                </w:p>
              </w:tc>
              <w:tc>
                <w:tcPr>
                  <w:tcW w:w="1520" w:type="dxa"/>
                  <w:tcBorders>
                    <w:top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1E9927A5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Povećanje/</w:t>
                  </w:r>
                </w:p>
              </w:tc>
              <w:tc>
                <w:tcPr>
                  <w:tcW w:w="1599" w:type="dxa"/>
                  <w:tcBorders>
                    <w:top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07CD4FF1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12DC0931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14:paraId="3986093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334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2455368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2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E1ADE87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20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0F0852FA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smanjenje</w:t>
                  </w:r>
                </w:p>
              </w:tc>
              <w:tc>
                <w:tcPr>
                  <w:tcW w:w="1599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79F8D39F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 IZMJENA 2025.</w:t>
                  </w:r>
                </w:p>
              </w:tc>
              <w:tc>
                <w:tcPr>
                  <w:tcW w:w="1581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68A7F4EA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Izmjena/plan</w:t>
                  </w:r>
                </w:p>
              </w:tc>
            </w:tr>
            <w:tr w14:paraId="44800E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340" w:type="dxa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44E5E66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UKUPNO PROGRAM</w:t>
                  </w:r>
                </w:p>
              </w:tc>
              <w:tc>
                <w:tcPr>
                  <w:tcW w:w="1520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F8D0293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319.375.00</w:t>
                  </w:r>
                </w:p>
              </w:tc>
              <w:tc>
                <w:tcPr>
                  <w:tcW w:w="1520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D2B8076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53.535.00</w:t>
                  </w:r>
                </w:p>
              </w:tc>
              <w:tc>
                <w:tcPr>
                  <w:tcW w:w="1599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0D1621B3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372.910,00</w:t>
                  </w:r>
                </w:p>
              </w:tc>
              <w:tc>
                <w:tcPr>
                  <w:tcW w:w="1581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101E8A4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16.76</w:t>
                  </w:r>
                </w:p>
              </w:tc>
            </w:tr>
            <w:tr w14:paraId="493EBEF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3340" w:type="dxa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40DD08F7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Program 3201 SOCIJALNI PROGRAM GRADA</w:t>
                  </w:r>
                </w:p>
              </w:tc>
              <w:tc>
                <w:tcPr>
                  <w:tcW w:w="1520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FE1C8AE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20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62059DC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99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8327EC8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81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5686485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</w:tr>
            <w:tr w14:paraId="76CA2B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340" w:type="dxa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45F6F645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Aktivnost A320105</w:t>
                  </w:r>
                </w:p>
              </w:tc>
              <w:tc>
                <w:tcPr>
                  <w:tcW w:w="1520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74830EF0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319.375.00</w:t>
                  </w:r>
                </w:p>
              </w:tc>
              <w:tc>
                <w:tcPr>
                  <w:tcW w:w="1520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6B63735F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53.535.00</w:t>
                  </w:r>
                </w:p>
              </w:tc>
              <w:tc>
                <w:tcPr>
                  <w:tcW w:w="1599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777830A9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372.910.00</w:t>
                  </w:r>
                </w:p>
              </w:tc>
              <w:tc>
                <w:tcPr>
                  <w:tcW w:w="1581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5382B199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16.76</w:t>
                  </w:r>
                </w:p>
              </w:tc>
            </w:tr>
            <w:tr w14:paraId="52505F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</w:trPr>
              <w:tc>
                <w:tcPr>
                  <w:tcW w:w="3340" w:type="dxa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41DC242F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POMOĆ STARIJIM I NEMOĆNIM OSOBAMA</w:t>
                  </w:r>
                </w:p>
              </w:tc>
              <w:tc>
                <w:tcPr>
                  <w:tcW w:w="1520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358C0E7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20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F596B77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99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05D5CA3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81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41FC2B6B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</w:tr>
          </w:tbl>
          <w:p w14:paraId="22704BC3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FA31A47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04D4466B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  <w:t>Šifra i naziv aktivnosti/projekta u Proračunu: Aktivnost A320105 POMOĆ STARIJIM I NEMOĆNIM OSOBAMA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hr-HR"/>
              </w:rPr>
              <w:tab/>
            </w:r>
          </w:p>
        </w:tc>
      </w:tr>
      <w:tr w14:paraId="3C0DA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E3725">
            <w:pPr>
              <w:widowControl w:val="0"/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hr-HR"/>
              </w:rPr>
              <w:t>:</w:t>
            </w:r>
          </w:p>
          <w:p w14:paraId="598D3D13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hr-HR"/>
              </w:rPr>
            </w:pPr>
          </w:p>
          <w:p w14:paraId="76787AF3">
            <w:pPr>
              <w:pStyle w:val="7"/>
              <w:widowControl w:val="0"/>
              <w:spacing w:before="0" w:after="0" w:line="240" w:lineRule="auto"/>
              <w:rPr>
                <w:rFonts w:ascii="Calibri;sans-serif" w:hAnsi="Calibri;sans-serif" w:eastAsia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  <w:lang w:eastAsia="hr-HR"/>
              </w:rPr>
            </w:pPr>
            <w:bookmarkStart w:id="4" w:name="docs-internal-guid-28f1421c-7fff-b34b-24"/>
            <w:bookmarkEnd w:id="4"/>
            <w:r>
              <w:rPr>
                <w:rFonts w:ascii="Calibri;sans-serif" w:hAnsi="Calibri;sans-serif" w:eastAsia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  <w:lang w:eastAsia="hr-HR"/>
              </w:rPr>
              <w:t>-  Zakon o ustanovama</w:t>
            </w:r>
          </w:p>
          <w:p w14:paraId="5A9C6128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Zakon o socijalnoj skrbi</w:t>
            </w:r>
          </w:p>
          <w:p w14:paraId="3FC4AD94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Statut Grada „Službene novine Primorsko-goranske županije br. 26/09, 34/09 - ispravak, 07/13, „Službene novine Grada Crikvenice“ br. 42/18,</w:t>
            </w:r>
          </w:p>
          <w:p w14:paraId="714FD9A0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Zakon o proračunu</w:t>
            </w:r>
          </w:p>
          <w:p w14:paraId="34090E93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Upute za izradu proračuna za period 2025.-2027.godine za proračunske korisnike</w:t>
            </w:r>
          </w:p>
          <w:p w14:paraId="7595EE3B">
            <w:pPr>
              <w:pStyle w:val="7"/>
              <w:bidi w:val="0"/>
              <w:spacing w:before="0" w:after="160" w:line="307" w:lineRule="auto"/>
              <w:jc w:val="both"/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Upute za izradu proračuna jedinica lokalne i područne (regionalne) samouprave za razdoblje 2025.-2027.</w:t>
            </w:r>
          </w:p>
        </w:tc>
      </w:tr>
      <w:tr w14:paraId="3DE10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89DF6">
            <w:pPr>
              <w:widowControl w:val="0"/>
              <w:spacing w:before="0" w:after="0" w:line="240" w:lineRule="auto"/>
              <w:ind w:left="0" w:right="0" w:firstLine="39"/>
              <w:rPr>
                <w:rFonts w:ascii="Times New Roman" w:hAnsi="Times New Roman" w:eastAsia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hr-HR"/>
              </w:rPr>
              <w:t>Obrazloženje aktivnosti/projekta</w:t>
            </w:r>
          </w:p>
          <w:p w14:paraId="6532E47E">
            <w:pPr>
              <w:pStyle w:val="7"/>
              <w:widowControl w:val="0"/>
              <w:spacing w:before="0" w:after="160" w:line="254" w:lineRule="auto"/>
              <w:ind w:left="709" w:right="0" w:firstLine="0"/>
              <w:contextualSpacing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bookmarkStart w:id="5" w:name="docs-internal-guid-2f87effd-7fff-dad0-52"/>
            <w:bookmarkEnd w:id="5"/>
            <w:r>
              <w:rPr>
                <w:rFonts w:ascii="Calibri;sans-serif" w:hAnsi="Calibri;sans-serif" w:cs="Calibri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</w:rPr>
              <w:t>Centar za pružanje usluga u zajednici grada Crikvenice provodi djelatnost Pomoć u kući. Obuhvaća rashode za zaposlene, materijalne i financijske rashode poslovanja koji se financiraju iz proračuna Grada Crikvenice, vlastitih sredstava, ministarstva i korisnika . Rashodi za zaposlene planirani su u skladu s statutom, kolektivnim ugovorom , brojem zaposlenih i koeficijentima radnog mjesta. Plaće i prava djelatnika planirana su prema ugovoru o radu. Ukupan broj zaposlenih osoba devet: Ravnateljica, voditeljica odsjeka pomoć u kući, šest gerontodomaćica i jedan pomoćni radnik. Materijalni i financijski troškovi planirani su na osnovu uputa za izradu  proračuna za period 2025.-2027. godine za proračunske korisnike.</w:t>
            </w:r>
          </w:p>
          <w:p w14:paraId="51F0DF4B">
            <w:pPr>
              <w:pStyle w:val="7"/>
              <w:spacing w:before="0" w:after="120" w:line="240" w:lineRule="auto"/>
            </w:pPr>
          </w:p>
        </w:tc>
      </w:tr>
      <w:tr w14:paraId="44B08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841B8">
            <w:pPr>
              <w:widowControl w:val="0"/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before="0" w:after="54"/>
              <w:jc w:val="both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Razlog odstupanja od važećeg plana</w:t>
            </w:r>
          </w:p>
          <w:p w14:paraId="5A8F0097">
            <w:pPr>
              <w:widowControl w:val="0"/>
              <w:spacing w:before="0" w:after="0" w:line="240" w:lineRule="auto"/>
              <w:ind w:left="0" w:right="0" w:firstLine="39"/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ab/>
            </w:r>
            <w:bookmarkStart w:id="6" w:name="docs-internal-guid-0425290a-7fff-2a69-ac"/>
            <w:bookmarkEnd w:id="6"/>
            <w:r>
              <w:rPr>
                <w:rFonts w:ascii="Times New Roman" w:hAnsi="Times New Roman" w:eastAsia="Calibri" w:cs="Times New Roman"/>
                <w:b w:val="0"/>
                <w:bCs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</w:rPr>
              <w:t>Povećanje se odnosi na dio planiran za povećanje rashoda poslovanja, rashoda za zaposlene - plaća djelatnicima i pripadajućih doprinosa i ostalih troškova zaposlenika radi dodatnih zapošljavanja te povećanje materijalnih rashoda, najvećim djelom za naknadu za korištenje privatnog automobila u službene svrhe.</w:t>
            </w:r>
          </w:p>
          <w:p w14:paraId="7C603829">
            <w:pPr>
              <w:pStyle w:val="7"/>
            </w:pPr>
            <w:r>
              <w:br w:type="textWrapping"/>
            </w:r>
          </w:p>
          <w:p w14:paraId="2ABAAAB9">
            <w:pPr>
              <w:widowControl w:val="0"/>
              <w:spacing w:before="0" w:after="0" w:line="240" w:lineRule="auto"/>
              <w:ind w:left="0" w:right="0" w:firstLine="39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</w:p>
        </w:tc>
      </w:tr>
      <w:tr w14:paraId="71F16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96601">
            <w:pPr>
              <w:widowControl w:val="0"/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before="0" w:after="54"/>
              <w:jc w:val="both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Pokazatelji rezultata</w:t>
            </w:r>
          </w:p>
          <w:p w14:paraId="248B7AEA">
            <w:pPr>
              <w:widowControl w:val="0"/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before="0" w:after="54"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03685F07">
            <w:pPr>
              <w:widowControl w:val="0"/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before="0" w:after="54"/>
              <w:jc w:val="both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bookmarkStart w:id="7" w:name="_Hlk118876443"/>
            <w:bookmarkEnd w:id="7"/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-21590</wp:posOffset>
                      </wp:positionV>
                      <wp:extent cx="6567805" cy="2119630"/>
                      <wp:effectExtent l="0" t="0" r="0" b="0"/>
                      <wp:wrapSquare wrapText="bothSides"/>
                      <wp:docPr id="7" name="Frame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7805" cy="2119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5"/>
                                    <w:tblW w:w="10343" w:type="dxa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5" w:type="dxa"/>
                                      <w:bottom w:w="0" w:type="dxa"/>
                                      <w:right w:w="5" w:type="dxa"/>
                                    </w:tblCellMar>
                                  </w:tblPr>
                                  <w:tblGrid>
                                    <w:gridCol w:w="1979"/>
                                    <w:gridCol w:w="1638"/>
                                    <w:gridCol w:w="1134"/>
                                    <w:gridCol w:w="1198"/>
                                    <w:gridCol w:w="993"/>
                                    <w:gridCol w:w="1132"/>
                                    <w:gridCol w:w="1135"/>
                                    <w:gridCol w:w="1134"/>
                                  </w:tblGrid>
                                  <w:tr w14:paraId="3C3E92DD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rPr>
                                      <w:trHeight w:val="694" w:hRule="atLeast"/>
                                    </w:trPr>
                                    <w:tc>
                                      <w:tcPr>
                                        <w:tcW w:w="197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5C491A69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Pokazatelj rezultata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0B5A607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Definicija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F77205E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Jedinica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5624A0B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Polazna vrijednost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391B1C4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Izvor podataka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2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7E64CCB4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5F95CFE9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5BB4122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2027.</w:t>
                                        </w:r>
                                      </w:p>
                                    </w:tc>
                                  </w:tr>
                                  <w:tr w14:paraId="132D28A4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c>
                                      <w:tcPr>
                                        <w:tcW w:w="197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1E2FB84B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C06232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325A424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Povećanje broja korisnika usluga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51C7769E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Organiziranjem usluga Centra omogućuje se osobama kojima je nužna pomoć u kućanskim poslovima , što suže ostati u svom kućanstvu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1FDF38C1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67575655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865D75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Broj korisnika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5594BF5D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A4FAC5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8C27E7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54F16C1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68651775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Centar za pružanje usluga u zajednici Grada Crikvenice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2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5D69BEAE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331760F4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300F28A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4F22DE19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4272DEC6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1F6207D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48BBD87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31BE8E5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0F38DBB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</w:tr>
                                </w:tbl>
                                <w:p w14:paraId="0B9D3AD7"/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ame4" o:spid="_x0000_s1026" o:spt="202" type="#_x0000_t202" style="position:absolute;left:0pt;margin-left:0pt;margin-top:-1.7pt;height:166.9pt;width:517.15pt;mso-position-horizontal-relative:margin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nI7kLVAAAACAEAAA8AAAAAAAAAAQAgAAAAIgAAAGRycy9k&#10;b3ducmV2LnhtbFBLAQIUABQAAAAIAIdO4kC01uBMzAEAALUDAAAOAAAAAAAAAAEAIAAAACQBAABk&#10;cnMvZTJvRG9jLnhtbFBLBQYAAAAABgAGAFkBAABiBQAAAAA=&#10;">
                      <v:fill on="t" opacity="0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tbl>
                            <w:tblPr>
                              <w:tblStyle w:val="5"/>
                              <w:tblW w:w="10343" w:type="dxa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979"/>
                              <w:gridCol w:w="1638"/>
                              <w:gridCol w:w="1134"/>
                              <w:gridCol w:w="1198"/>
                              <w:gridCol w:w="993"/>
                              <w:gridCol w:w="1132"/>
                              <w:gridCol w:w="1135"/>
                              <w:gridCol w:w="1134"/>
                            </w:tblGrid>
                            <w:tr w14:paraId="3C3E92DD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5C491A69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Pokazatelj rezultata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0B5A607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Definicija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F77205E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Jedinica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5624A0B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Polazna vrijednost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391B1C4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Izvor podataka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7E64CCB4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2025.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5F95CFE9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2026.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5BB4122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2027.</w:t>
                                  </w:r>
                                </w:p>
                              </w:tc>
                            </w:tr>
                            <w:tr w14:paraId="132D28A4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c>
                                <w:tcPr>
                                  <w:tcW w:w="19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E2FB84B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C06232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325A424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Povećanje broja korisnika usluga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1C7769E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Organiziranjem usluga Centra omogućuje se osobama kojima je nužna pomoć u kućanskim poslovima , što suže ostati u svom kućanstvu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FDF38C1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67575655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865D75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Broj korisnika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594BF5D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A4FAC5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8C27E7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4F16C1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68651775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Centar za pružanje usluga u zajednici Grada Crikvenice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D69BEAE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331760F4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300F28A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F22DE19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4272DEC6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1F6207D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8BBD87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31BE8E5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0F38DBB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0B9D3A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50E1463">
      <w:pPr>
        <w:spacing w:before="0" w:after="0" w:line="240" w:lineRule="auto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232A1853">
      <w:pPr>
        <w:rPr>
          <w:rFonts w:ascii="Times New Roman" w:hAnsi="Times New Roman" w:eastAsia="Calibri" w:cs="Times New Roman"/>
        </w:rPr>
      </w:pPr>
    </w:p>
    <w:p w14:paraId="5CFA821A">
      <w:pPr>
        <w:rPr>
          <w:rFonts w:ascii="Times New Roman" w:hAnsi="Times New Roman" w:eastAsia="Calibri" w:cs="Times New Roman"/>
        </w:rPr>
      </w:pPr>
    </w:p>
    <w:tbl>
      <w:tblPr>
        <w:tblStyle w:val="5"/>
        <w:tblW w:w="10915" w:type="dxa"/>
        <w:tblInd w:w="-7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6A566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23BEF">
            <w:pPr>
              <w:pStyle w:val="7"/>
              <w:widowControl w:val="0"/>
              <w:spacing w:before="0" w:after="0" w:line="240" w:lineRule="auto"/>
            </w:pPr>
            <w:bookmarkStart w:id="8" w:name="docs-internal-guid-98e0c7bd-7fff-ab7e-ed"/>
            <w:bookmarkEnd w:id="8"/>
            <w:r>
              <w:rPr>
                <w:rFonts w:ascii="Calibri;sans-serif" w:hAnsi="Calibri;sans-serif" w:eastAsia="Times New Roman" w:cs="Times New Roman"/>
                <w:b/>
                <w:bCs/>
                <w:i/>
                <w:iCs/>
                <w:caps w:val="0"/>
                <w:smallCaps w:val="0"/>
                <w:strike w:val="0"/>
                <w:dstrike w:val="0"/>
                <w:color w:val="000000"/>
                <w:sz w:val="22"/>
                <w:szCs w:val="20"/>
                <w:u w:val="none"/>
                <w:shd w:val="clear" w:fill="auto"/>
                <w:lang w:eastAsia="hr-HR"/>
              </w:rPr>
              <w:t>PROGRAM 2 – 5101 KAPITALNA ULAGANJA U SOCIJALNOJ ZAŠTITI</w:t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  <w: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ab/>
            </w:r>
          </w:p>
        </w:tc>
      </w:tr>
      <w:tr w14:paraId="54FD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87999">
            <w:pPr>
              <w:widowControl w:val="0"/>
              <w:spacing w:before="0" w:after="160" w:line="254" w:lineRule="auto"/>
              <w:contextualSpacing/>
              <w:jc w:val="both"/>
              <w:rPr>
                <w:rFonts w:ascii="Times New Roman" w:hAnsi="Times New Roman" w:eastAsia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hr-HR"/>
              </w:rPr>
              <w:t>Opis programa, svrha programa</w:t>
            </w:r>
          </w:p>
          <w:p w14:paraId="1DC1D102">
            <w:pPr>
              <w:widowControl w:val="0"/>
              <w:spacing w:before="0" w:after="160" w:line="254" w:lineRule="auto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</w:p>
          <w:p w14:paraId="4C1B8DC9">
            <w:pPr>
              <w:widowControl w:val="0"/>
              <w:spacing w:before="0" w:after="160" w:line="254" w:lineRule="auto"/>
              <w:jc w:val="both"/>
            </w:pPr>
            <w:r>
              <w:rPr>
                <w:rFonts w:cs="Calibri"/>
                <w:b/>
                <w:sz w:val="18"/>
                <w:szCs w:val="18"/>
              </w:rPr>
              <w:t xml:space="preserve">Program 5101 KAPITALNA ULAGANJA U SOCIJALNOJ ZAŠTITI </w:t>
            </w:r>
            <w:r>
              <w:rPr>
                <w:rFonts w:cs="Calibri"/>
                <w:sz w:val="18"/>
                <w:szCs w:val="18"/>
              </w:rPr>
              <w:t>obuhvaća slijedeće kapitale projekte</w:t>
            </w:r>
          </w:p>
          <w:p w14:paraId="42B21898">
            <w:pPr>
              <w:widowControl w:val="0"/>
              <w:numPr>
                <w:ilvl w:val="0"/>
                <w:numId w:val="7"/>
              </w:numPr>
              <w:spacing w:before="0" w:after="160" w:line="254" w:lineRule="auto"/>
              <w:contextualSpacing/>
              <w:jc w:val="both"/>
              <w:rPr>
                <w:rFonts w:cs="Calibri"/>
                <w:b/>
                <w:sz w:val="18"/>
                <w:szCs w:val="18"/>
              </w:rPr>
            </w:pPr>
            <w:bookmarkStart w:id="9" w:name="docs-internal-guid-1e3ac5ab-7fff-3f55-b6"/>
            <w:bookmarkEnd w:id="9"/>
            <w:r>
              <w:rPr>
                <w:rFonts w:ascii="Calibri;sans-serif" w:hAnsi="Calibri;sans-serif" w:cs="Calibri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</w:rPr>
              <w:t>Kapitalni projekt K510102 – KAPITALNO ULAGANJE U OPREMU USTANOVE U KUĆI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14:paraId="3F23B6D6">
            <w:pPr>
              <w:widowControl w:val="0"/>
              <w:spacing w:before="0" w:after="160" w:line="254" w:lineRule="auto"/>
              <w:jc w:val="both"/>
              <w:rPr>
                <w:rFonts w:cs="Calibri"/>
                <w:sz w:val="18"/>
                <w:szCs w:val="18"/>
              </w:rPr>
            </w:pPr>
          </w:p>
          <w:p w14:paraId="099CD685">
            <w:pPr>
              <w:widowControl w:val="0"/>
              <w:spacing w:before="0" w:after="160" w:line="254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Program je usmjeren na povećanje materijalnih uvjeta rada u Centru za pružanje usluga u zajednici Grada Crikvenice</w:t>
            </w:r>
          </w:p>
        </w:tc>
      </w:tr>
      <w:tr w14:paraId="55851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EF16B">
            <w:pPr>
              <w:widowControl w:val="0"/>
              <w:spacing w:before="0"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  <w:t xml:space="preserve">Ciljevi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hr-HR"/>
              </w:rPr>
              <w:t xml:space="preserve">provedbe programa </w:t>
            </w:r>
          </w:p>
          <w:p w14:paraId="4A79F104">
            <w:pPr>
              <w:pStyle w:val="47"/>
              <w:widowControl w:val="0"/>
              <w:rPr>
                <w:rFonts w:cs="Calibri"/>
                <w:sz w:val="18"/>
                <w:szCs w:val="18"/>
              </w:rPr>
            </w:pPr>
          </w:p>
          <w:p w14:paraId="1778B430">
            <w:pPr>
              <w:pStyle w:val="47"/>
              <w:widowControl w:val="0"/>
            </w:pPr>
            <w:r>
              <w:rPr>
                <w:rFonts w:cs="Calibri"/>
                <w:sz w:val="18"/>
                <w:szCs w:val="18"/>
              </w:rPr>
              <w:t xml:space="preserve">Cilj 1: </w:t>
            </w:r>
            <w:r>
              <w:rPr>
                <w:rFonts w:cs="Calibri"/>
                <w:i/>
                <w:sz w:val="18"/>
                <w:szCs w:val="18"/>
              </w:rPr>
              <w:t>Poboljšanje materijalnih uvjeta rada u u Centru za pružanje usluga u zajednici Grada Crikvenice</w:t>
            </w:r>
          </w:p>
          <w:p w14:paraId="65CDAFFF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i/>
                <w:sz w:val="20"/>
                <w:szCs w:val="20"/>
                <w:lang w:eastAsia="hr-HR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6478270" cy="2119630"/>
                      <wp:effectExtent l="0" t="0" r="0" b="0"/>
                      <wp:wrapSquare wrapText="bothSides"/>
                      <wp:docPr id="8" name="Frame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8270" cy="2119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5"/>
                                    <w:tblW w:w="10202" w:type="dxa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5" w:type="dxa"/>
                                      <w:bottom w:w="0" w:type="dxa"/>
                                      <w:right w:w="5" w:type="dxa"/>
                                    </w:tblCellMar>
                                  </w:tblPr>
                                  <w:tblGrid>
                                    <w:gridCol w:w="1980"/>
                                    <w:gridCol w:w="1637"/>
                                    <w:gridCol w:w="1135"/>
                                    <w:gridCol w:w="1196"/>
                                    <w:gridCol w:w="851"/>
                                    <w:gridCol w:w="993"/>
                                    <w:gridCol w:w="1275"/>
                                    <w:gridCol w:w="1135"/>
                                  </w:tblGrid>
                                  <w:tr w14:paraId="2227B5D0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rPr>
                                      <w:trHeight w:val="694" w:hRule="atLeast"/>
                                    </w:trPr>
                                    <w:tc>
                                      <w:tcPr>
                                        <w:tcW w:w="1980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6979381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Pokazatelj učinka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37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10FEC9C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Definicija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F67D29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Jedinica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6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50D8FEE7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Polazna vrijednost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69439074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Izvor podataka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31CA797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57F23B96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25DF491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2027.</w:t>
                                        </w:r>
                                      </w:p>
                                    </w:tc>
                                  </w:tr>
                                  <w:tr w14:paraId="433106B9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c>
                                      <w:tcPr>
                                        <w:tcW w:w="1980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3DB756E2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Calibri" w:hAnsi="Calibri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 xml:space="preserve"> </w:t>
                                        </w:r>
                                      </w:p>
                                      <w:p w14:paraId="3229BC8B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Calibri" w:hAnsi="Calibri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06B14A6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Calibri" w:hAnsi="Calibri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Povećanje broja korisnika usluga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37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1BD62115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Organiziranjem usluga Centra omogućuje se osobama kojima je nužna pomoć u kućanskim poslovima , što suže ostati u svom kućanstvu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0108DADB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0DE4DB9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18138289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Broj korisnika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6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393BFB72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067757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006E42D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1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1F79D61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A6D433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Centar za pružanje usluga u zajednici Grada Crikvenice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1F5BB37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34328EC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0EE401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4838483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6E5D5EB4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26874AB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50D75FCB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F7D9421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26103A81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</w:tr>
                                </w:tbl>
                                <w:p w14:paraId="523C9409"/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ame7" o:spid="_x0000_s1026" o:spt="202" type="#_x0000_t202" style="position:absolute;left:0pt;margin-left:0pt;margin-top:0.05pt;height:166.9pt;width:510.1pt;mso-position-horizontal-relative:margin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GlM39MAAAAGAQAADwAAAAAAAAABACAAAAAiAAAAZHJzL2Rvd25y&#10;ZXYueG1sUEsBAhQAFAAAAAgAh07iQJDV4xLKAQAAtQMAAA4AAAAAAAAAAQAgAAAAIgEAAGRycy9l&#10;Mm9Eb2MueG1sUEsFBgAAAAAGAAYAWQEAAF4FAAAAAA==&#10;">
                      <v:fill on="t" opacity="0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tbl>
                            <w:tblPr>
                              <w:tblStyle w:val="5"/>
                              <w:tblW w:w="10202" w:type="dxa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980"/>
                              <w:gridCol w:w="1637"/>
                              <w:gridCol w:w="1135"/>
                              <w:gridCol w:w="1196"/>
                              <w:gridCol w:w="851"/>
                              <w:gridCol w:w="993"/>
                              <w:gridCol w:w="1275"/>
                              <w:gridCol w:w="1135"/>
                            </w:tblGrid>
                            <w:tr w14:paraId="2227B5D0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6979381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Pokazatelj učinka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10FEC9C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Definicija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F67D29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Jedinica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50D8FEE7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Polazna vrijednost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69439074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Izvor podataka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31CA797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2025.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57F23B96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2026.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25DF491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2027.</w:t>
                                  </w:r>
                                </w:p>
                              </w:tc>
                            </w:tr>
                            <w:tr w14:paraId="433106B9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c>
                                <w:tcPr>
                                  <w:tcW w:w="198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DB756E2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Calibri" w:hAnsi="Calibri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 xml:space="preserve"> </w:t>
                                  </w:r>
                                </w:p>
                                <w:p w14:paraId="3229BC8B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Calibri" w:hAnsi="Calibri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06B14A6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Calibri" w:hAnsi="Calibri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Povećanje broja korisnika usluga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BD62115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Organiziranjem usluga Centra omogućuje se osobama kojima je nužna pomoć u kućanskim poslovima , što suže ostati u svom kućanstvu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108DADB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0DE4DB9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18138289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Broj korisnika</w:t>
                                  </w:r>
                                </w:p>
                              </w:tc>
                              <w:tc>
                                <w:tcPr>
                                  <w:tcW w:w="119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93BFB72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067757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006E42D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F79D61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A6D433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Centar za pružanje usluga u zajednici Grada Crikvenice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F5BB37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34328EC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0EE401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838483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6E5D5EB4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26874AB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0D75FCB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F7D9421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26103A81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523C940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A01A9AE">
      <w:pPr>
        <w:numPr>
          <w:ilvl w:val="0"/>
          <w:numId w:val="6"/>
        </w:numPr>
        <w:spacing w:before="0" w:after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Procjena i ishodište potrebnih sredstava za aktivnosti/projekte unutar programa</w:t>
      </w:r>
    </w:p>
    <w:tbl>
      <w:tblPr>
        <w:tblStyle w:val="5"/>
        <w:tblW w:w="10915" w:type="dxa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43A5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B67D3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</w:pPr>
            <w:bookmarkStart w:id="10" w:name="_Hlk56078496"/>
            <w:bookmarkEnd w:id="10"/>
          </w:p>
          <w:p w14:paraId="7DCE066D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  <w:t xml:space="preserve">Šifra i naziv aktivnosti/projekta u Proračunu:  </w:t>
            </w:r>
          </w:p>
          <w:p w14:paraId="0A6A307E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  <w:t xml:space="preserve">Kapitalni projekt  </w:t>
            </w:r>
            <w:r>
              <w:rPr>
                <w:rFonts w:ascii="Calibri;sans-serif" w:hAnsi="Calibri;sans-serif" w:eastAsia="Times New Roman" w:cs="Calibri"/>
                <w:b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  <w:lang w:eastAsia="hr-HR"/>
              </w:rPr>
              <w:t>K510102 – KAPITALNO ULAGANJE U OPREMU USTANOVE U KUĆI</w:t>
            </w:r>
            <w:r>
              <w:rPr>
                <w:rFonts w:ascii="Times New Roman" w:hAnsi="Times New Roman" w:eastAsia="Times New Roman" w:cs="Calibri"/>
                <w:b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  <w:tab/>
            </w:r>
          </w:p>
          <w:p w14:paraId="11AA92D7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</w:pPr>
          </w:p>
          <w:tbl>
            <w:tblPr>
              <w:tblStyle w:val="5"/>
              <w:tblW w:w="956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0"/>
              <w:gridCol w:w="1520"/>
              <w:gridCol w:w="1520"/>
              <w:gridCol w:w="1599"/>
              <w:gridCol w:w="1581"/>
            </w:tblGrid>
            <w:tr w14:paraId="293390E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334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5C5CF5D2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NAZIV PROGRAMA</w:t>
                  </w:r>
                </w:p>
              </w:tc>
              <w:tc>
                <w:tcPr>
                  <w:tcW w:w="1520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27F52463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 2025.</w:t>
                  </w:r>
                </w:p>
              </w:tc>
              <w:tc>
                <w:tcPr>
                  <w:tcW w:w="1520" w:type="dxa"/>
                  <w:tcBorders>
                    <w:top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3CABBFBB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Povećanje/</w:t>
                  </w:r>
                </w:p>
              </w:tc>
              <w:tc>
                <w:tcPr>
                  <w:tcW w:w="1599" w:type="dxa"/>
                  <w:tcBorders>
                    <w:top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156DB28E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</w:t>
                  </w:r>
                </w:p>
              </w:tc>
              <w:tc>
                <w:tcPr>
                  <w:tcW w:w="1581" w:type="dxa"/>
                  <w:tcBorders>
                    <w:top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766F02AB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Indeks</w:t>
                  </w:r>
                </w:p>
              </w:tc>
            </w:tr>
            <w:tr w14:paraId="008FD5C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334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19D3840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20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C18119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20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68F3BAC5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smanjenje</w:t>
                  </w:r>
                </w:p>
              </w:tc>
              <w:tc>
                <w:tcPr>
                  <w:tcW w:w="1599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59963B3E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 IZMJENA 2025.</w:t>
                  </w:r>
                </w:p>
              </w:tc>
              <w:tc>
                <w:tcPr>
                  <w:tcW w:w="1581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2F2F2"/>
                  <w:vAlign w:val="center"/>
                </w:tcPr>
                <w:p w14:paraId="0F53D2FD">
                  <w:pPr>
                    <w:widowControl w:val="0"/>
                    <w:spacing w:before="0" w:after="0" w:line="240" w:lineRule="auto"/>
                    <w:jc w:val="center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izmjena plana</w:t>
                  </w:r>
                </w:p>
              </w:tc>
            </w:tr>
            <w:tr w14:paraId="68A6D7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3340" w:type="dxa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1FC46439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UKUPNO PROGRAM</w:t>
                  </w:r>
                </w:p>
              </w:tc>
              <w:tc>
                <w:tcPr>
                  <w:tcW w:w="1520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718A0A63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2.700.00</w:t>
                  </w:r>
                </w:p>
              </w:tc>
              <w:tc>
                <w:tcPr>
                  <w:tcW w:w="1520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0B30B0D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0.00</w:t>
                  </w:r>
                </w:p>
              </w:tc>
              <w:tc>
                <w:tcPr>
                  <w:tcW w:w="1599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0CDAF5FF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2.700.00</w:t>
                  </w:r>
                </w:p>
              </w:tc>
              <w:tc>
                <w:tcPr>
                  <w:tcW w:w="1581" w:type="dxa"/>
                  <w:vMerge w:val="restart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46DF7E56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</w:tr>
            <w:tr w14:paraId="51D2E3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3340" w:type="dxa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4CF250B1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5101 KAPITALNA ULAGANJA U SOCIJALNOJ ZAŠTITI</w:t>
                  </w:r>
                </w:p>
              </w:tc>
              <w:tc>
                <w:tcPr>
                  <w:tcW w:w="1520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1CE1396C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20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D37FEF5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99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8C9F23B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  <w:tc>
                <w:tcPr>
                  <w:tcW w:w="1581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588BC9D2">
                  <w:pPr>
                    <w:widowControl/>
                    <w:bidi w:val="0"/>
                    <w:spacing w:before="0" w:after="200" w:line="276" w:lineRule="auto"/>
                    <w:jc w:val="left"/>
                  </w:pPr>
                </w:p>
              </w:tc>
            </w:tr>
            <w:tr w14:paraId="081EA7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5" w:hRule="atLeast"/>
              </w:trPr>
              <w:tc>
                <w:tcPr>
                  <w:tcW w:w="3340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3189F66">
                  <w:pPr>
                    <w:widowControl w:val="0"/>
                    <w:spacing w:before="0" w:after="0" w:line="240" w:lineRule="auto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Ka</w:t>
                  </w:r>
                  <w:r>
                    <w:rPr>
                      <w:rFonts w:ascii="Times New Roman" w:hAnsi="Times New Roman" w:eastAsia="Times New Roman"/>
                      <w:b w:val="0"/>
                      <w:bCs w:val="0"/>
                      <w:color w:val="000000"/>
                      <w:sz w:val="18"/>
                      <w:szCs w:val="18"/>
                      <w:lang w:eastAsia="hr-HR"/>
                    </w:rPr>
                    <w:t xml:space="preserve">pitalni projekt </w:t>
                  </w:r>
                  <w:r>
                    <w:rPr>
                      <w:rFonts w:ascii="Calibri;sans-serif" w:hAnsi="Calibri;sans-serif" w:eastAsia="Times New Roman" w:cs="Calibri"/>
                      <w:b w:val="0"/>
                      <w:bCs w:val="0"/>
                      <w:i w:val="0"/>
                      <w:caps w:val="0"/>
                      <w:smallCaps w:val="0"/>
                      <w:strike w:val="0"/>
                      <w:dstrike w:val="0"/>
                      <w:color w:val="000000"/>
                      <w:sz w:val="18"/>
                      <w:szCs w:val="18"/>
                      <w:u w:val="none"/>
                      <w:shd w:val="clear" w:fill="auto"/>
                      <w:lang w:eastAsia="hr-HR"/>
                    </w:rPr>
                    <w:t>K510102 – KAPITALNO ULAGANJE U OPREMU USTANOVE U KUĆI</w:t>
                  </w:r>
                  <w:r>
                    <w:rPr>
                      <w:rFonts w:ascii="Times New Roman" w:hAnsi="Times New Roman" w:eastAsia="Times New Roman" w:cs="Calibri"/>
                      <w:b/>
                      <w:color w:val="000000"/>
                      <w:sz w:val="18"/>
                      <w:szCs w:val="18"/>
                      <w:lang w:eastAsia="hr-HR"/>
                    </w:rPr>
                    <w:t xml:space="preserve"> </w:t>
                  </w:r>
                </w:p>
              </w:tc>
              <w:tc>
                <w:tcPr>
                  <w:tcW w:w="1520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2E99D90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2.700.00</w:t>
                  </w:r>
                </w:p>
              </w:tc>
              <w:tc>
                <w:tcPr>
                  <w:tcW w:w="1520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2E156828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0.00</w:t>
                  </w:r>
                </w:p>
              </w:tc>
              <w:tc>
                <w:tcPr>
                  <w:tcW w:w="1599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1D194A1F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2.700.00</w:t>
                  </w:r>
                </w:p>
              </w:tc>
              <w:tc>
                <w:tcPr>
                  <w:tcW w:w="1581" w:type="dxa"/>
                  <w:tcBorders>
                    <w:bottom w:val="single" w:color="000000" w:sz="8" w:space="0"/>
                    <w:right w:val="single" w:color="000000" w:sz="8" w:space="0"/>
                  </w:tcBorders>
                  <w:shd w:val="clear" w:color="auto" w:fill="FFFFFF"/>
                  <w:vAlign w:val="center"/>
                </w:tcPr>
                <w:p w14:paraId="6C300470">
                  <w:pPr>
                    <w:widowControl w:val="0"/>
                    <w:spacing w:before="0" w:after="0" w:line="240" w:lineRule="auto"/>
                    <w:jc w:val="right"/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>
                    <w:rPr>
                      <w:rFonts w:ascii="Times New Roman" w:hAnsi="Times New Roman" w:eastAsia="Times New Roman"/>
                      <w:color w:val="000000"/>
                      <w:sz w:val="18"/>
                      <w:szCs w:val="18"/>
                      <w:lang w:eastAsia="hr-HR"/>
                    </w:rPr>
                    <w:t>0</w:t>
                  </w:r>
                </w:p>
              </w:tc>
            </w:tr>
          </w:tbl>
          <w:p w14:paraId="5EF15473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14:paraId="1957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951CA">
            <w:pPr>
              <w:widowControl w:val="0"/>
              <w:spacing w:before="0" w:after="0" w:line="240" w:lineRule="auto"/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hr-HR"/>
              </w:rPr>
              <w:t>:</w:t>
            </w:r>
          </w:p>
          <w:p w14:paraId="4394BBD4">
            <w:pPr>
              <w:widowControl w:val="0"/>
              <w:spacing w:before="0"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hr-HR"/>
              </w:rPr>
            </w:pPr>
          </w:p>
          <w:p w14:paraId="176A671C">
            <w:pPr>
              <w:pStyle w:val="7"/>
              <w:widowControl w:val="0"/>
              <w:spacing w:before="0" w:after="0" w:line="240" w:lineRule="auto"/>
              <w:rPr>
                <w:rFonts w:ascii="Calibri;sans-serif" w:hAnsi="Calibri;sans-serif" w:eastAsia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  <w:lang w:eastAsia="hr-HR"/>
              </w:rPr>
            </w:pPr>
            <w:bookmarkStart w:id="11" w:name="docs-internal-guid-28f1421c-7fff-b34b-24"/>
            <w:bookmarkEnd w:id="11"/>
            <w:r>
              <w:rPr>
                <w:rFonts w:ascii="Calibri;sans-serif" w:hAnsi="Calibri;sans-serif" w:eastAsia="Times New Roman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szCs w:val="18"/>
                <w:u w:val="none"/>
                <w:shd w:val="clear" w:fill="auto"/>
                <w:lang w:eastAsia="hr-HR"/>
              </w:rPr>
              <w:t>-  Zakon o ustanovama</w:t>
            </w:r>
          </w:p>
          <w:p w14:paraId="10358760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Zakon o socijalnoj skrbi</w:t>
            </w:r>
          </w:p>
          <w:p w14:paraId="6B647D93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Statut Grada „Službene novine Primorsko-goranske županije br. 26/09, 34/09 - ispravak, 07/13, „Službene novine Grada Crikvenice“ br. 42/18,</w:t>
            </w:r>
          </w:p>
          <w:p w14:paraId="3D2167B8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Zakon o proračunu</w:t>
            </w:r>
          </w:p>
          <w:p w14:paraId="1A636E5F">
            <w:pPr>
              <w:pStyle w:val="7"/>
              <w:bidi w:val="0"/>
              <w:spacing w:before="0" w:after="0" w:line="331" w:lineRule="auto"/>
              <w:jc w:val="both"/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Upute za izradu proračuna za period 2025.-2027.godine za proračunske korisnike</w:t>
            </w:r>
          </w:p>
          <w:p w14:paraId="5B2825A8">
            <w:pPr>
              <w:pStyle w:val="7"/>
              <w:bidi w:val="0"/>
              <w:spacing w:before="0" w:after="160" w:line="307" w:lineRule="auto"/>
              <w:jc w:val="both"/>
            </w:pP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sz w:val="18"/>
                <w:u w:val="none"/>
                <w:shd w:val="clear" w:fill="auto"/>
              </w:rPr>
              <w:t>-  Upute za izradu proračuna jedinica lokalne i područne (regionalne) samouprave za razdoblje 2025.-2027.</w:t>
            </w:r>
          </w:p>
        </w:tc>
      </w:tr>
      <w:tr w14:paraId="3DC0F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05433">
            <w:pPr>
              <w:widowControl w:val="0"/>
              <w:spacing w:before="0" w:after="0" w:line="240" w:lineRule="auto"/>
              <w:ind w:left="0" w:right="0" w:firstLine="39"/>
              <w:rPr>
                <w:rFonts w:ascii="Times New Roman" w:hAnsi="Times New Roman" w:eastAsia="Times New Roman"/>
                <w:b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hr-HR"/>
              </w:rPr>
              <w:t>Obrazloženje aktivnosti/projekta</w:t>
            </w:r>
          </w:p>
          <w:p w14:paraId="0F56FB58">
            <w:pPr>
              <w:widowControl w:val="0"/>
              <w:spacing w:before="0" w:after="0" w:line="240" w:lineRule="auto"/>
              <w:ind w:left="0" w:right="0" w:firstLine="39"/>
              <w:rPr>
                <w:rFonts w:ascii="Times New Roman" w:hAnsi="Times New Roman" w:eastAsia="Times New Roman"/>
                <w:b/>
                <w:sz w:val="18"/>
                <w:szCs w:val="18"/>
                <w:lang w:eastAsia="hr-HR"/>
              </w:rPr>
            </w:pPr>
          </w:p>
          <w:p w14:paraId="41E0EA00">
            <w:pPr>
              <w:widowControl w:val="0"/>
              <w:spacing w:before="0" w:after="200"/>
              <w:ind w:right="0" w:firstLine="0"/>
              <w:contextualSpacing/>
              <w:jc w:val="both"/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Odnosi se na nabavku uredskog namještaja, komunikacijskih uređaja, medicinske opreme i druge opreme potrebne za rad Centra</w:t>
            </w:r>
          </w:p>
        </w:tc>
      </w:tr>
      <w:tr w14:paraId="74204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C1164">
            <w:pPr>
              <w:widowControl w:val="0"/>
              <w:spacing w:before="0" w:after="0" w:line="240" w:lineRule="auto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ab/>
            </w:r>
          </w:p>
          <w:p w14:paraId="42858F49">
            <w:pPr>
              <w:widowControl w:val="0"/>
              <w:spacing w:before="0" w:after="0" w:line="240" w:lineRule="auto"/>
              <w:ind w:left="0" w:right="0" w:firstLine="39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Razlog odstupanja od važećeg plana</w:t>
            </w:r>
          </w:p>
          <w:p w14:paraId="37B94A86">
            <w:pPr>
              <w:widowControl w:val="0"/>
              <w:spacing w:before="0" w:after="0" w:line="240" w:lineRule="auto"/>
              <w:ind w:left="0" w:right="0" w:firstLine="39"/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</w:pPr>
          </w:p>
          <w:p w14:paraId="447CE19B">
            <w:pPr>
              <w:widowControl w:val="0"/>
              <w:spacing w:before="0" w:after="0" w:line="240" w:lineRule="auto"/>
              <w:ind w:left="0" w:right="0" w:firstLine="39"/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Nema odstupanja u odnosu na važeći plan</w:t>
            </w:r>
          </w:p>
          <w:p w14:paraId="0537A2EB">
            <w:pPr>
              <w:widowControl w:val="0"/>
              <w:spacing w:before="0"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hr-HR"/>
              </w:rPr>
            </w:pPr>
          </w:p>
        </w:tc>
      </w:tr>
      <w:tr w14:paraId="3562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AD6FD">
            <w:pPr>
              <w:widowControl w:val="0"/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before="0" w:after="54"/>
              <w:jc w:val="both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/>
                <w:sz w:val="18"/>
                <w:szCs w:val="18"/>
              </w:rPr>
              <w:t>Pokazatelji rezultata</w:t>
            </w:r>
          </w:p>
          <w:p w14:paraId="53CD3452">
            <w:pPr>
              <w:widowControl w:val="0"/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before="0" w:after="54"/>
              <w:jc w:val="both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-8255</wp:posOffset>
                      </wp:positionV>
                      <wp:extent cx="6567805" cy="2119630"/>
                      <wp:effectExtent l="0" t="0" r="0" b="0"/>
                      <wp:wrapSquare wrapText="bothSides"/>
                      <wp:docPr id="9" name="Frame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67805" cy="2119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5"/>
                                    <w:tblW w:w="10343" w:type="dxa"/>
                                    <w:tblInd w:w="-5" w:type="dxa"/>
                                    <w:tblLayout w:type="fixed"/>
                                    <w:tblCellMar>
                                      <w:top w:w="0" w:type="dxa"/>
                                      <w:left w:w="5" w:type="dxa"/>
                                      <w:bottom w:w="0" w:type="dxa"/>
                                      <w:right w:w="5" w:type="dxa"/>
                                    </w:tblCellMar>
                                  </w:tblPr>
                                  <w:tblGrid>
                                    <w:gridCol w:w="1979"/>
                                    <w:gridCol w:w="1638"/>
                                    <w:gridCol w:w="1134"/>
                                    <w:gridCol w:w="1198"/>
                                    <w:gridCol w:w="993"/>
                                    <w:gridCol w:w="1132"/>
                                    <w:gridCol w:w="1135"/>
                                    <w:gridCol w:w="1134"/>
                                  </w:tblGrid>
                                  <w:tr w14:paraId="17B7E957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rPr>
                                      <w:trHeight w:val="694" w:hRule="atLeast"/>
                                    </w:trPr>
                                    <w:tc>
                                      <w:tcPr>
                                        <w:tcW w:w="197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49BC298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Pokazatelj rezultata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F01236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Definicija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  <w:vAlign w:val="center"/>
                                      </w:tcPr>
                                      <w:p w14:paraId="215DC651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Jedinica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7741408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Polazna vrijednost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645B5442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Izvor podataka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2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150B853B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2025.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18D3E8C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2026.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  <w:shd w:val="clear" w:color="auto" w:fill="DDD9C3"/>
                                      </w:tcPr>
                                      <w:p w14:paraId="423E7C4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/>
                                            <w:kern w:val="0"/>
                                            <w:sz w:val="16"/>
                                            <w:szCs w:val="16"/>
                                            <w:lang w:val="hr-HR" w:bidi="ar-SA"/>
                                          </w:rPr>
                                          <w:t>Ciljana vrijednost za 2027.</w:t>
                                        </w:r>
                                      </w:p>
                                    </w:tc>
                                  </w:tr>
                                  <w:tr w14:paraId="782F5D30">
                                    <w:tblPrEx>
                                      <w:tblCellMar>
                                        <w:top w:w="0" w:type="dxa"/>
                                        <w:left w:w="5" w:type="dxa"/>
                                        <w:bottom w:w="0" w:type="dxa"/>
                                        <w:right w:w="5" w:type="dxa"/>
                                      </w:tblCellMar>
                                    </w:tblPrEx>
                                    <w:tc>
                                      <w:tcPr>
                                        <w:tcW w:w="1979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668D044E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Calibri" w:hAnsi="Calibri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 xml:space="preserve"> </w:t>
                                        </w:r>
                                      </w:p>
                                      <w:p w14:paraId="4C079783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Calibri" w:hAnsi="Calibri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6DA79F4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Calibri" w:hAnsi="Calibri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Povećanje broja korisnika usluga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63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3BECF6A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Organiziranjem usluga Centra omogućuje se osobama kojima je nužna pomoć u kućanskim poslovima , što suže ostati u svom kućanstvu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0C5BC7F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FB62BB2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C47B63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Broj korisnika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98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5B3975C7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01F0B51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02E35EE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3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577FA8FF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51EC601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Centar za pružanje usluga u zajednici Grada Crikvenice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2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62B178ED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60EBFA3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1552EFD0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85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5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1F120A2C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78F39BAD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237BC6CA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color="000000" w:sz="4" w:space="0"/>
                                          <w:left w:val="single" w:color="000000" w:sz="4" w:space="0"/>
                                          <w:bottom w:val="single" w:color="000000" w:sz="4" w:space="0"/>
                                          <w:right w:val="single" w:color="000000" w:sz="4" w:space="0"/>
                                        </w:tcBorders>
                                      </w:tcPr>
                                      <w:p w14:paraId="46AEE78E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4EE8DFD8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</w:p>
                                      <w:p w14:paraId="1E9460ED">
                                        <w:pPr>
                                          <w:widowControl/>
                                          <w:spacing w:before="0" w:after="200"/>
                                          <w:jc w:val="center"/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Calibri"/>
                                            <w:kern w:val="0"/>
                                            <w:sz w:val="18"/>
                                            <w:szCs w:val="18"/>
                                            <w:lang w:val="hr-HR" w:bidi="ar-SA"/>
                                          </w:rPr>
                                          <w:t>90</w:t>
                                        </w:r>
                                      </w:p>
                                    </w:tc>
                                  </w:tr>
                                </w:tbl>
                                <w:p w14:paraId="7DBFE622"/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ame8" o:spid="_x0000_s1026" o:spt="202" type="#_x0000_t202" style="position:absolute;left:0pt;margin-left:1.8pt;margin-top:-0.65pt;height:166.9pt;width:517.1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/a4Br1gAAAAkBAAAPAAAAAAAAAAEAIAAAACIAAABkcnMv&#10;ZG93bnJldi54bWxQSwECFAAUAAAACACHTuJAFRHz1cwBAAC1AwAADgAAAAAAAAABACAAAAAlAQAA&#10;ZHJzL2Uyb0RvYy54bWxQSwUGAAAAAAYABgBZAQAAYwUAAAAA&#10;">
                      <v:fill on="t" opacity="0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tbl>
                            <w:tblPr>
                              <w:tblStyle w:val="5"/>
                              <w:tblW w:w="10343" w:type="dxa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</w:tblPr>
                            <w:tblGrid>
                              <w:gridCol w:w="1979"/>
                              <w:gridCol w:w="1638"/>
                              <w:gridCol w:w="1134"/>
                              <w:gridCol w:w="1198"/>
                              <w:gridCol w:w="993"/>
                              <w:gridCol w:w="1132"/>
                              <w:gridCol w:w="1135"/>
                              <w:gridCol w:w="1134"/>
                            </w:tblGrid>
                            <w:tr w14:paraId="17B7E957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rPr>
                                <w:trHeight w:val="694" w:hRule="atLeast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49BC298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Pokazatelj rezultata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F01236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Definicija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  <w:vAlign w:val="center"/>
                                </w:tcPr>
                                <w:p w14:paraId="215DC651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Jedinica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7741408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Polazna vrijednost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645B5442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Izvor podataka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150B853B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2025.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18D3E8C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2026.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shd w:val="clear" w:color="auto" w:fill="DDD9C3"/>
                                </w:tcPr>
                                <w:p w14:paraId="423E7C4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/>
                                      <w:kern w:val="0"/>
                                      <w:sz w:val="16"/>
                                      <w:szCs w:val="16"/>
                                      <w:lang w:val="hr-HR" w:bidi="ar-SA"/>
                                    </w:rPr>
                                    <w:t>Ciljana vrijednost za 2027.</w:t>
                                  </w:r>
                                </w:p>
                              </w:tc>
                            </w:tr>
                            <w:tr w14:paraId="782F5D30">
                              <w:tblPrEx>
                                <w:tblCellMar>
                                  <w:top w:w="0" w:type="dxa"/>
                                  <w:left w:w="5" w:type="dxa"/>
                                  <w:bottom w:w="0" w:type="dxa"/>
                                  <w:right w:w="5" w:type="dxa"/>
                                </w:tblCellMar>
                              </w:tblPrEx>
                              <w:tc>
                                <w:tcPr>
                                  <w:tcW w:w="197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68D044E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Calibri" w:hAnsi="Calibri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 xml:space="preserve"> </w:t>
                                  </w:r>
                                </w:p>
                                <w:p w14:paraId="4C079783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Calibri" w:hAnsi="Calibri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6DA79F4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Calibri" w:hAnsi="Calibri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Povećanje broja korisnika usluga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3BECF6A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Organiziranjem usluga Centra omogućuje se osobama kojima je nužna pomoć u kućanskim poslovima , što suže ostati u svom kućanstvu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0C5BC7F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FB62BB2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C47B63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Broj korisnika</w:t>
                                  </w:r>
                                </w:p>
                              </w:tc>
                              <w:tc>
                                <w:tcPr>
                                  <w:tcW w:w="1198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B3975C7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01F0B51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02E35EE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577FA8FF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51EC601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Centar za pružanje usluga u zajednici Grada Crikvenice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62B178ED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60EBFA3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1552EFD0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1F120A2C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78F39BAD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237BC6CA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14:paraId="46AEE78E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4EE8DFD8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</w:p>
                                <w:p w14:paraId="1E9460ED">
                                  <w:pPr>
                                    <w:widowControl/>
                                    <w:spacing w:before="0" w:after="200"/>
                                    <w:jc w:val="center"/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kern w:val="0"/>
                                      <w:sz w:val="18"/>
                                      <w:szCs w:val="18"/>
                                      <w:lang w:val="hr-HR" w:bidi="ar-SA"/>
                                    </w:rPr>
                                    <w:t>90</w:t>
                                  </w:r>
                                </w:p>
                              </w:tc>
                            </w:tr>
                          </w:tbl>
                          <w:p w14:paraId="7DBFE62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14:paraId="11E8E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9E415">
            <w:pPr>
              <w:widowControl w:val="0"/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before="0" w:after="54"/>
              <w:jc w:val="both"/>
              <w:rPr>
                <w:rFonts w:ascii="Times New Roman" w:hAnsi="Times New Roman" w:eastAsia="Calibri" w:cs="Times New Roman"/>
                <w:b/>
                <w:sz w:val="18"/>
                <w:szCs w:val="18"/>
              </w:rPr>
            </w:pPr>
            <w:bookmarkStart w:id="12" w:name="_Hlk56078496"/>
            <w:bookmarkEnd w:id="12"/>
          </w:p>
        </w:tc>
      </w:tr>
    </w:tbl>
    <w:p w14:paraId="242F2F8F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15D44354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7E902F1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0ECD1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before="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F25C82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RAVNATELJICA</w:t>
      </w:r>
    </w:p>
    <w:p w14:paraId="2843B4D5">
      <w:p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068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</w:tabs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Edita Kalanj</w:t>
      </w:r>
    </w:p>
    <w:sectPr>
      <w:footerReference r:id="rId5" w:type="default"/>
      <w:pgSz w:w="11906" w:h="16838"/>
      <w:pgMar w:top="1417" w:right="1417" w:bottom="1417" w:left="1417" w:header="0" w:footer="708" w:gutter="0"/>
      <w:pgNumType w:fmt="decimal" w:start="1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font31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DF417x">
    <w:panose1 w:val="02000000000000000000"/>
    <w:charset w:val="00"/>
    <w:family w:val="roman"/>
    <w:pitch w:val="default"/>
    <w:sig w:usb0="00000001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 New Roman;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;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FBBA">
    <w:pPr>
      <w:pStyle w:val="16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12</w:t>
    </w:r>
    <w:r>
      <w:rPr>
        <w:rFonts w:ascii="Times New Roman" w:hAnsi="Times New Roman"/>
        <w:sz w:val="18"/>
        <w:szCs w:val="18"/>
      </w:rPr>
      <w:fldChar w:fldCharType="end"/>
    </w:r>
  </w:p>
  <w:p w14:paraId="35B7DDD6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49AA6F"/>
    <w:multiLevelType w:val="multilevel"/>
    <w:tmpl w:val="9249AA6F"/>
    <w:lvl w:ilvl="0" w:tentative="0">
      <w:start w:val="1"/>
      <w:numFmt w:val="decimal"/>
      <w:lvlText w:val="%1."/>
      <w:lvlJc w:val="left"/>
      <w:pPr>
        <w:tabs>
          <w:tab w:val="left" w:pos="709"/>
        </w:tabs>
        <w:ind w:left="709" w:hanging="283"/>
      </w:pPr>
    </w:lvl>
    <w:lvl w:ilvl="1" w:tentative="0">
      <w:start w:val="1"/>
      <w:numFmt w:val="decimal"/>
      <w:lvlText w:val="%2."/>
      <w:lvlJc w:val="left"/>
      <w:pPr>
        <w:tabs>
          <w:tab w:val="left" w:pos="1418"/>
        </w:tabs>
        <w:ind w:left="1418" w:hanging="283"/>
      </w:pPr>
    </w:lvl>
    <w:lvl w:ilvl="2" w:tentative="0">
      <w:start w:val="1"/>
      <w:numFmt w:val="decimal"/>
      <w:lvlText w:val="%3."/>
      <w:lvlJc w:val="left"/>
      <w:pPr>
        <w:tabs>
          <w:tab w:val="left" w:pos="2127"/>
        </w:tabs>
        <w:ind w:left="2127" w:hanging="283"/>
      </w:pPr>
    </w:lvl>
    <w:lvl w:ilvl="3" w:tentative="0">
      <w:start w:val="1"/>
      <w:numFmt w:val="decimal"/>
      <w:lvlText w:val="%4."/>
      <w:lvlJc w:val="left"/>
      <w:pPr>
        <w:tabs>
          <w:tab w:val="left" w:pos="2836"/>
        </w:tabs>
        <w:ind w:left="2836" w:hanging="283"/>
      </w:pPr>
    </w:lvl>
    <w:lvl w:ilvl="4" w:tentative="0">
      <w:start w:val="1"/>
      <w:numFmt w:val="decimal"/>
      <w:lvlText w:val="%5."/>
      <w:lvlJc w:val="left"/>
      <w:pPr>
        <w:tabs>
          <w:tab w:val="left" w:pos="3545"/>
        </w:tabs>
        <w:ind w:left="3545" w:hanging="283"/>
      </w:pPr>
    </w:lvl>
    <w:lvl w:ilvl="5" w:tentative="0">
      <w:start w:val="1"/>
      <w:numFmt w:val="decimal"/>
      <w:lvlText w:val="%6."/>
      <w:lvlJc w:val="left"/>
      <w:pPr>
        <w:tabs>
          <w:tab w:val="left" w:pos="4254"/>
        </w:tabs>
        <w:ind w:left="4254" w:hanging="283"/>
      </w:pPr>
    </w:lvl>
    <w:lvl w:ilvl="6" w:tentative="0">
      <w:start w:val="1"/>
      <w:numFmt w:val="decimal"/>
      <w:lvlText w:val="%7."/>
      <w:lvlJc w:val="left"/>
      <w:pPr>
        <w:tabs>
          <w:tab w:val="left" w:pos="4963"/>
        </w:tabs>
        <w:ind w:left="4963" w:hanging="283"/>
      </w:pPr>
    </w:lvl>
    <w:lvl w:ilvl="7" w:tentative="0">
      <w:start w:val="1"/>
      <w:numFmt w:val="decimal"/>
      <w:lvlText w:val="%8."/>
      <w:lvlJc w:val="left"/>
      <w:pPr>
        <w:tabs>
          <w:tab w:val="left" w:pos="5672"/>
        </w:tabs>
        <w:ind w:left="5672" w:hanging="283"/>
      </w:pPr>
    </w:lvl>
    <w:lvl w:ilvl="8" w:tentative="0">
      <w:start w:val="1"/>
      <w:numFmt w:val="decimal"/>
      <w:lvlText w:val="%9."/>
      <w:lvlJc w:val="left"/>
      <w:pPr>
        <w:tabs>
          <w:tab w:val="left" w:pos="6381"/>
        </w:tabs>
        <w:ind w:left="6381" w:hanging="283"/>
      </w:pPr>
    </w:lvl>
  </w:abstractNum>
  <w:abstractNum w:abstractNumId="1">
    <w:nsid w:val="977E9B4C"/>
    <w:multiLevelType w:val="multilevel"/>
    <w:tmpl w:val="977E9B4C"/>
    <w:lvl w:ilvl="0" w:tentative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2">
    <w:nsid w:val="B244AD8C"/>
    <w:multiLevelType w:val="multilevel"/>
    <w:tmpl w:val="B244AD8C"/>
    <w:lvl w:ilvl="0" w:tentative="0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hint="default" w:ascii="Symbol" w:hAnsi="Symbol" w:cs="Symbol"/>
      </w:rPr>
    </w:lvl>
    <w:lvl w:ilvl="1" w:tentative="0">
      <w:start w:val="0"/>
      <w:numFmt w:val="decimal"/>
      <w:lvlText w:val="%2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%3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%4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%5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%6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%7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%8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%9"/>
      <w:lvlJc w:val="left"/>
      <w:pPr>
        <w:tabs>
          <w:tab w:val="left" w:pos="0"/>
        </w:tabs>
        <w:ind w:left="0" w:firstLine="0"/>
      </w:pPr>
    </w:lvl>
  </w:abstractNum>
  <w:abstractNum w:abstractNumId="3">
    <w:nsid w:val="F869931F"/>
    <w:multiLevelType w:val="multilevel"/>
    <w:tmpl w:val="F869931F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>
    <w:nsid w:val="FA8294C4"/>
    <w:multiLevelType w:val="multilevel"/>
    <w:tmpl w:val="FA8294C4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">
    <w:nsid w:val="584735ED"/>
    <w:multiLevelType w:val="multilevel"/>
    <w:tmpl w:val="584735ED"/>
    <w:lvl w:ilvl="0" w:tentative="0">
      <w:start w:val="1"/>
      <w:numFmt w:val="bullet"/>
      <w:lvlText w:val=""/>
      <w:lvlJc w:val="left"/>
      <w:pPr>
        <w:tabs>
          <w:tab w:val="left" w:pos="0"/>
        </w:tabs>
        <w:ind w:left="928" w:hanging="360"/>
      </w:pPr>
      <w:rPr>
        <w:rFonts w:hint="default" w:ascii="Wingdings" w:hAnsi="Wingdings" w:cs="Wingdings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>
    <w:nsid w:val="5C23B626"/>
    <w:multiLevelType w:val="multilevel"/>
    <w:tmpl w:val="5C23B626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1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18F4B5A"/>
    <w:rsid w:val="33045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kinsoku/>
      <w:overflowPunct/>
      <w:autoSpaceDE/>
      <w:bidi w:val="0"/>
      <w:spacing w:before="0" w:after="200" w:line="276" w:lineRule="auto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numPr>
        <w:ilvl w:val="0"/>
        <w:numId w:val="0"/>
      </w:numPr>
      <w:spacing w:before="240" w:after="0" w:line="259" w:lineRule="auto"/>
      <w:outlineLvl w:val="0"/>
    </w:pPr>
    <w:rPr>
      <w:rFonts w:ascii="Cambria" w:hAnsi="Cambria" w:eastAsia="MS Gothic" w:cs="Times New Roman"/>
      <w:color w:val="365F91"/>
      <w:sz w:val="32"/>
      <w:szCs w:val="32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numPr>
        <w:ilvl w:val="0"/>
        <w:numId w:val="0"/>
      </w:numPr>
      <w:spacing w:before="40" w:after="0" w:line="259" w:lineRule="auto"/>
      <w:outlineLvl w:val="1"/>
    </w:pPr>
    <w:rPr>
      <w:rFonts w:ascii="Cambria" w:hAnsi="Cambria" w:eastAsia="MS Gothic" w:cs="Times New Roman"/>
      <w:color w:val="365F91"/>
      <w:sz w:val="26"/>
      <w:szCs w:val="26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9"/>
    <w:qFormat/>
    <w:uiPriority w:val="0"/>
    <w:pPr>
      <w:spacing w:before="0" w:after="0" w:line="240" w:lineRule="auto"/>
    </w:pPr>
    <w:rPr>
      <w:rFonts w:ascii="Tahoma" w:hAnsi="Tahoma"/>
      <w:sz w:val="16"/>
      <w:szCs w:val="16"/>
      <w:lang w:val="zh-CN"/>
    </w:rPr>
  </w:style>
  <w:style w:type="paragraph" w:styleId="7">
    <w:name w:val="Body Text"/>
    <w:basedOn w:val="1"/>
    <w:link w:val="32"/>
    <w:qFormat/>
    <w:uiPriority w:val="0"/>
    <w:pPr>
      <w:spacing w:before="0" w:after="12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8">
    <w:name w:val="Body Text 2"/>
    <w:basedOn w:val="1"/>
    <w:link w:val="37"/>
    <w:qFormat/>
    <w:uiPriority w:val="0"/>
    <w:pPr>
      <w:spacing w:before="0" w:after="120" w:line="480" w:lineRule="auto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10">
    <w:name w:val="annotation reference"/>
    <w:basedOn w:val="4"/>
    <w:qFormat/>
    <w:uiPriority w:val="0"/>
    <w:rPr>
      <w:sz w:val="16"/>
      <w:szCs w:val="16"/>
    </w:rPr>
  </w:style>
  <w:style w:type="paragraph" w:styleId="11">
    <w:name w:val="annotation text"/>
    <w:basedOn w:val="1"/>
    <w:link w:val="34"/>
    <w:qFormat/>
    <w:uiPriority w:val="0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35"/>
    <w:qFormat/>
    <w:uiPriority w:val="0"/>
    <w:rPr>
      <w:b/>
      <w:bCs/>
    </w:rPr>
  </w:style>
  <w:style w:type="paragraph" w:styleId="13">
    <w:name w:val="Date"/>
    <w:basedOn w:val="1"/>
    <w:next w:val="1"/>
    <w:link w:val="33"/>
    <w:qFormat/>
    <w:uiPriority w:val="0"/>
  </w:style>
  <w:style w:type="character" w:styleId="14">
    <w:name w:val="Emphasis"/>
    <w:basedOn w:val="4"/>
    <w:qFormat/>
    <w:uiPriority w:val="0"/>
    <w:rPr>
      <w:i/>
      <w:iCs/>
    </w:rPr>
  </w:style>
  <w:style w:type="character" w:styleId="15">
    <w:name w:val="FollowedHyperlink"/>
    <w:uiPriority w:val="0"/>
    <w:rPr>
      <w:color w:val="800080"/>
      <w:u w:val="single"/>
    </w:rPr>
  </w:style>
  <w:style w:type="paragraph" w:styleId="16">
    <w:name w:val="footer"/>
    <w:basedOn w:val="1"/>
    <w:link w:val="28"/>
    <w:qFormat/>
    <w:uiPriority w:val="0"/>
    <w:pPr>
      <w:tabs>
        <w:tab w:val="center" w:pos="4536"/>
        <w:tab w:val="right" w:pos="9072"/>
      </w:tabs>
      <w:spacing w:before="0" w:after="0" w:line="240" w:lineRule="auto"/>
    </w:pPr>
  </w:style>
  <w:style w:type="character" w:styleId="17">
    <w:name w:val="footnote reference"/>
    <w:qFormat/>
    <w:uiPriority w:val="0"/>
    <w:rPr>
      <w:vertAlign w:val="superscript"/>
    </w:rPr>
  </w:style>
  <w:style w:type="paragraph" w:styleId="18">
    <w:name w:val="footnote text"/>
    <w:basedOn w:val="1"/>
    <w:link w:val="38"/>
    <w:qFormat/>
    <w:uiPriority w:val="0"/>
    <w:pPr>
      <w:spacing w:before="0" w:after="0" w:line="240" w:lineRule="auto"/>
    </w:pPr>
    <w:rPr>
      <w:sz w:val="20"/>
      <w:szCs w:val="20"/>
    </w:rPr>
  </w:style>
  <w:style w:type="paragraph" w:styleId="19">
    <w:name w:val="header"/>
    <w:basedOn w:val="1"/>
    <w:link w:val="27"/>
    <w:qFormat/>
    <w:uiPriority w:val="0"/>
    <w:pPr>
      <w:tabs>
        <w:tab w:val="center" w:pos="4536"/>
        <w:tab w:val="right" w:pos="9072"/>
      </w:tabs>
      <w:spacing w:before="0" w:after="0" w:line="240" w:lineRule="auto"/>
    </w:pPr>
  </w:style>
  <w:style w:type="character" w:styleId="20">
    <w:name w:val="Hyperlink"/>
    <w:uiPriority w:val="0"/>
    <w:rPr>
      <w:color w:val="0000FF"/>
      <w:u w:val="single"/>
    </w:rPr>
  </w:style>
  <w:style w:type="paragraph" w:styleId="21">
    <w:name w:val="index heading"/>
    <w:basedOn w:val="22"/>
    <w:uiPriority w:val="0"/>
  </w:style>
  <w:style w:type="paragraph" w:customStyle="1" w:styleId="22">
    <w:name w:val="Heading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23">
    <w:name w:val="List"/>
    <w:basedOn w:val="7"/>
    <w:qFormat/>
    <w:uiPriority w:val="0"/>
    <w:rPr>
      <w:rFonts w:cs="Arial"/>
    </w:rPr>
  </w:style>
  <w:style w:type="paragraph" w:styleId="24">
    <w:name w:val="Normal (Web)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styleId="25">
    <w:name w:val="toc 1"/>
    <w:basedOn w:val="1"/>
    <w:next w:val="1"/>
    <w:autoRedefine/>
    <w:qFormat/>
    <w:uiPriority w:val="0"/>
    <w:pPr>
      <w:spacing w:before="0" w:after="100" w:line="259" w:lineRule="auto"/>
    </w:pPr>
    <w:rPr>
      <w:rFonts w:ascii="Calibri" w:hAnsi="Calibri" w:eastAsia="Calibri" w:cs="Arial"/>
    </w:rPr>
  </w:style>
  <w:style w:type="paragraph" w:styleId="26">
    <w:name w:val="toc 2"/>
    <w:basedOn w:val="1"/>
    <w:next w:val="1"/>
    <w:autoRedefine/>
    <w:uiPriority w:val="0"/>
    <w:pPr>
      <w:spacing w:before="0" w:after="100" w:line="259" w:lineRule="auto"/>
      <w:ind w:left="220" w:right="0" w:firstLine="0"/>
    </w:pPr>
    <w:rPr>
      <w:rFonts w:ascii="Calibri" w:hAnsi="Calibri" w:eastAsia="Calibri" w:cs="Arial"/>
    </w:rPr>
  </w:style>
  <w:style w:type="character" w:customStyle="1" w:styleId="27">
    <w:name w:val="Zaglavlje Char"/>
    <w:basedOn w:val="4"/>
    <w:link w:val="19"/>
    <w:qFormat/>
    <w:uiPriority w:val="0"/>
  </w:style>
  <w:style w:type="character" w:customStyle="1" w:styleId="28">
    <w:name w:val="Podnožje Char"/>
    <w:basedOn w:val="4"/>
    <w:link w:val="16"/>
    <w:qFormat/>
    <w:uiPriority w:val="0"/>
  </w:style>
  <w:style w:type="character" w:customStyle="1" w:styleId="29">
    <w:name w:val="Tekst balončića Char"/>
    <w:link w:val="6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30">
    <w:name w:val="a1"/>
    <w:basedOn w:val="4"/>
    <w:qFormat/>
    <w:uiPriority w:val="0"/>
  </w:style>
  <w:style w:type="character" w:customStyle="1" w:styleId="31">
    <w:name w:val="l62"/>
    <w:basedOn w:val="4"/>
    <w:qFormat/>
    <w:uiPriority w:val="0"/>
  </w:style>
  <w:style w:type="character" w:customStyle="1" w:styleId="32">
    <w:name w:val="Tijelo teksta Char"/>
    <w:basedOn w:val="4"/>
    <w:link w:val="7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33">
    <w:name w:val="Datum Char"/>
    <w:basedOn w:val="4"/>
    <w:link w:val="13"/>
    <w:qFormat/>
    <w:uiPriority w:val="0"/>
    <w:rPr>
      <w:sz w:val="22"/>
      <w:szCs w:val="22"/>
      <w:lang w:eastAsia="en-US"/>
    </w:rPr>
  </w:style>
  <w:style w:type="character" w:customStyle="1" w:styleId="34">
    <w:name w:val="Tekst komentara Char"/>
    <w:basedOn w:val="4"/>
    <w:link w:val="11"/>
    <w:qFormat/>
    <w:uiPriority w:val="0"/>
    <w:rPr>
      <w:lang w:eastAsia="en-US"/>
    </w:rPr>
  </w:style>
  <w:style w:type="character" w:customStyle="1" w:styleId="35">
    <w:name w:val="Predmet komentara Char"/>
    <w:basedOn w:val="34"/>
    <w:link w:val="12"/>
    <w:qFormat/>
    <w:uiPriority w:val="0"/>
    <w:rPr>
      <w:b/>
      <w:bCs/>
      <w:lang w:eastAsia="en-US"/>
    </w:rPr>
  </w:style>
  <w:style w:type="character" w:customStyle="1" w:styleId="36">
    <w:name w:val="st"/>
    <w:basedOn w:val="4"/>
    <w:qFormat/>
    <w:uiPriority w:val="0"/>
  </w:style>
  <w:style w:type="character" w:customStyle="1" w:styleId="37">
    <w:name w:val="Tijelo teksta 2 Char"/>
    <w:basedOn w:val="4"/>
    <w:link w:val="8"/>
    <w:qFormat/>
    <w:uiPriority w:val="0"/>
    <w:rPr>
      <w:sz w:val="22"/>
      <w:szCs w:val="22"/>
      <w:lang w:eastAsia="en-US"/>
    </w:rPr>
  </w:style>
  <w:style w:type="character" w:customStyle="1" w:styleId="38">
    <w:name w:val="Tekst fusnote Char"/>
    <w:basedOn w:val="4"/>
    <w:link w:val="18"/>
    <w:qFormat/>
    <w:uiPriority w:val="0"/>
    <w:rPr>
      <w:lang w:eastAsia="en-US"/>
    </w:rPr>
  </w:style>
  <w:style w:type="character" w:customStyle="1" w:styleId="39">
    <w:name w:val="Footnote Characters"/>
    <w:qFormat/>
    <w:uiPriority w:val="0"/>
    <w:rPr>
      <w:vertAlign w:val="superscript"/>
    </w:rPr>
  </w:style>
  <w:style w:type="character" w:customStyle="1" w:styleId="40">
    <w:name w:val="Zadani font odlomka1"/>
    <w:qFormat/>
    <w:uiPriority w:val="0"/>
  </w:style>
  <w:style w:type="character" w:customStyle="1" w:styleId="41">
    <w:name w:val="Naslov 1 Char"/>
    <w:basedOn w:val="4"/>
    <w:link w:val="2"/>
    <w:qFormat/>
    <w:uiPriority w:val="0"/>
    <w:rPr>
      <w:rFonts w:ascii="Cambria" w:hAnsi="Cambria" w:eastAsia="MS Gothic" w:cs="Times New Roman"/>
      <w:color w:val="365F91"/>
      <w:sz w:val="32"/>
      <w:szCs w:val="32"/>
      <w:lang w:eastAsia="en-US"/>
    </w:rPr>
  </w:style>
  <w:style w:type="character" w:customStyle="1" w:styleId="42">
    <w:name w:val="Naslov 2 Char"/>
    <w:basedOn w:val="4"/>
    <w:link w:val="3"/>
    <w:qFormat/>
    <w:uiPriority w:val="0"/>
    <w:rPr>
      <w:rFonts w:ascii="Cambria" w:hAnsi="Cambria" w:eastAsia="MS Gothic" w:cs="Times New Roman"/>
      <w:color w:val="365F91"/>
      <w:sz w:val="26"/>
      <w:szCs w:val="26"/>
      <w:lang w:eastAsia="en-US"/>
    </w:rPr>
  </w:style>
  <w:style w:type="character" w:customStyle="1" w:styleId="43">
    <w:name w:val="kurziv"/>
    <w:basedOn w:val="4"/>
    <w:qFormat/>
    <w:uiPriority w:val="0"/>
  </w:style>
  <w:style w:type="character" w:customStyle="1" w:styleId="44">
    <w:name w:val="Numbering Symbols"/>
    <w:qFormat/>
    <w:uiPriority w:val="0"/>
  </w:style>
  <w:style w:type="paragraph" w:customStyle="1" w:styleId="45">
    <w:name w:val="Index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46">
    <w:name w:val="Header and Footer"/>
    <w:basedOn w:val="1"/>
    <w:qFormat/>
    <w:uiPriority w:val="0"/>
  </w:style>
  <w:style w:type="paragraph" w:styleId="47">
    <w:name w:val="List Paragraph"/>
    <w:basedOn w:val="1"/>
    <w:qFormat/>
    <w:uiPriority w:val="0"/>
    <w:pPr>
      <w:spacing w:before="0" w:after="200"/>
      <w:ind w:left="720" w:right="0" w:firstLine="0"/>
      <w:contextualSpacing/>
    </w:pPr>
  </w:style>
  <w:style w:type="paragraph" w:customStyle="1" w:styleId="48">
    <w:name w:val="Level 1"/>
    <w:qFormat/>
    <w:uiPriority w:val="0"/>
    <w:pPr>
      <w:widowControl/>
      <w:suppressAutoHyphens/>
      <w:kinsoku/>
      <w:overflowPunct/>
      <w:autoSpaceDE/>
      <w:bidi w:val="0"/>
      <w:spacing w:before="0" w:after="0"/>
      <w:ind w:left="720" w:right="0" w:firstLine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customStyle="1" w:styleId="49">
    <w:name w:val="xl63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50">
    <w:name w:val="xl64"/>
    <w:basedOn w:val="1"/>
    <w:qFormat/>
    <w:uiPriority w:val="0"/>
    <w:pPr>
      <w:shd w:val="clear" w:fill="C0C0C0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51">
    <w:name w:val="xl65"/>
    <w:basedOn w:val="1"/>
    <w:qFormat/>
    <w:uiPriority w:val="0"/>
    <w:pPr>
      <w:shd w:val="clear" w:fill="A0D0A0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52">
    <w:name w:val="xl66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53">
    <w:name w:val="xl67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54">
    <w:name w:val="xl68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55">
    <w:name w:val="xl69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56">
    <w:name w:val="xl70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57">
    <w:name w:val="xl71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58">
    <w:name w:val="xl72"/>
    <w:basedOn w:val="1"/>
    <w:qFormat/>
    <w:uiPriority w:val="0"/>
    <w:pPr>
      <w:shd w:val="clear" w:fill="C0C0C0"/>
      <w:spacing w:before="280" w:after="280" w:line="240" w:lineRule="auto"/>
      <w:jc w:val="center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59">
    <w:name w:val="xl73"/>
    <w:basedOn w:val="1"/>
    <w:qFormat/>
    <w:uiPriority w:val="0"/>
    <w:pPr>
      <w:shd w:val="clear" w:fill="A0D0A0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60">
    <w:name w:val="xl74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61">
    <w:name w:val="xl75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b/>
      <w:bCs/>
      <w:sz w:val="24"/>
      <w:szCs w:val="24"/>
      <w:lang w:eastAsia="hr-HR"/>
    </w:rPr>
  </w:style>
  <w:style w:type="paragraph" w:customStyle="1" w:styleId="62">
    <w:name w:val="xl76"/>
    <w:basedOn w:val="1"/>
    <w:qFormat/>
    <w:uiPriority w:val="0"/>
    <w:pPr>
      <w:shd w:val="clear" w:fill="FFFFFF"/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63">
    <w:name w:val="Default"/>
    <w:qFormat/>
    <w:uiPriority w:val="0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hr-HR" w:eastAsia="hr-HR" w:bidi="ar-SA"/>
    </w:rPr>
  </w:style>
  <w:style w:type="paragraph" w:customStyle="1" w:styleId="64">
    <w:name w:val="Company Name"/>
    <w:basedOn w:val="7"/>
    <w:next w:val="13"/>
    <w:qFormat/>
    <w:uiPriority w:val="0"/>
    <w:pPr>
      <w:keepLines/>
      <w:spacing w:before="0" w:after="40" w:line="240" w:lineRule="atLeast"/>
      <w:jc w:val="center"/>
    </w:pPr>
    <w:rPr>
      <w:rFonts w:ascii="Garamond" w:hAnsi="Garamond"/>
      <w:caps/>
      <w:spacing w:val="75"/>
      <w:kern w:val="2"/>
      <w:sz w:val="21"/>
      <w:szCs w:val="20"/>
      <w:lang w:val="en-AU" w:eastAsia="en-US"/>
    </w:rPr>
  </w:style>
  <w:style w:type="paragraph" w:customStyle="1" w:styleId="65">
    <w:name w:val="List Paragraph1"/>
    <w:basedOn w:val="1"/>
    <w:qFormat/>
    <w:uiPriority w:val="0"/>
    <w:pPr>
      <w:suppressAutoHyphens/>
      <w:spacing w:before="0" w:after="0"/>
    </w:pPr>
    <w:rPr>
      <w:rFonts w:eastAsia="Lucida Sans Unicode" w:cs="font315"/>
      <w:kern w:val="2"/>
      <w:lang w:eastAsia="ar-SA"/>
    </w:rPr>
  </w:style>
  <w:style w:type="paragraph" w:customStyle="1" w:styleId="66">
    <w:name w:val="western"/>
    <w:basedOn w:val="1"/>
    <w:qFormat/>
    <w:uiPriority w:val="0"/>
    <w:pPr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67">
    <w:name w:val="Odlomak popisa1"/>
    <w:basedOn w:val="1"/>
    <w:qFormat/>
    <w:uiPriority w:val="0"/>
    <w:pPr>
      <w:suppressAutoHyphens/>
      <w:spacing w:before="0" w:after="160" w:line="249" w:lineRule="auto"/>
      <w:ind w:left="720" w:right="0" w:firstLine="0"/>
      <w:textAlignment w:val="baseline"/>
    </w:pPr>
  </w:style>
  <w:style w:type="paragraph" w:customStyle="1" w:styleId="68">
    <w:name w:val="P 1"/>
    <w:basedOn w:val="1"/>
    <w:qFormat/>
    <w:uiPriority w:val="0"/>
    <w:pPr>
      <w:spacing w:before="120" w:after="120" w:line="240" w:lineRule="auto"/>
      <w:ind w:left="567" w:right="0" w:firstLine="0"/>
      <w:jc w:val="both"/>
    </w:pPr>
    <w:rPr>
      <w:rFonts w:ascii="Arial" w:hAnsi="Arial" w:eastAsia="Times New Roman"/>
      <w:color w:val="000000"/>
      <w:sz w:val="20"/>
      <w:szCs w:val="24"/>
    </w:rPr>
  </w:style>
  <w:style w:type="paragraph" w:customStyle="1" w:styleId="69">
    <w:name w:val="box_469218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70">
    <w:name w:val="TOC Heading"/>
    <w:basedOn w:val="2"/>
    <w:next w:val="1"/>
    <w:qFormat/>
    <w:uiPriority w:val="0"/>
    <w:pPr>
      <w:outlineLvl w:val="9"/>
    </w:pPr>
    <w:rPr>
      <w:lang w:val="en-US"/>
    </w:rPr>
  </w:style>
  <w:style w:type="paragraph" w:customStyle="1" w:styleId="71">
    <w:name w:val="Revision"/>
    <w:qFormat/>
    <w:uiPriority w:val="0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hr-HR" w:eastAsia="en-US" w:bidi="ar-SA"/>
    </w:rPr>
  </w:style>
  <w:style w:type="paragraph" w:customStyle="1" w:styleId="72">
    <w:name w:val="CellColumn"/>
    <w:basedOn w:val="1"/>
    <w:qFormat/>
    <w:uiPriority w:val="0"/>
    <w:pPr>
      <w:overflowPunct/>
      <w:spacing w:before="0" w:after="120" w:line="240" w:lineRule="auto"/>
      <w:jc w:val="both"/>
      <w:textAlignment w:val="baseline"/>
    </w:pPr>
    <w:rPr>
      <w:rFonts w:ascii="Times New Roman" w:hAnsi="Times New Roman" w:eastAsia="Times New Roman" w:cs="Arial"/>
      <w:bCs/>
      <w:sz w:val="20"/>
      <w:lang w:val="sl-SI" w:eastAsia="hr-HR"/>
    </w:rPr>
  </w:style>
  <w:style w:type="paragraph" w:customStyle="1" w:styleId="73">
    <w:name w:val="Frame Contents"/>
    <w:basedOn w:val="1"/>
    <w:qFormat/>
    <w:uiPriority w:val="0"/>
  </w:style>
  <w:style w:type="paragraph" w:customStyle="1" w:styleId="74">
    <w:name w:val="Table Contents"/>
    <w:basedOn w:val="1"/>
    <w:qFormat/>
    <w:uiPriority w:val="0"/>
    <w:pPr>
      <w:widowControl w:val="0"/>
      <w:suppressLineNumbers/>
    </w:pPr>
  </w:style>
  <w:style w:type="paragraph" w:customStyle="1" w:styleId="75">
    <w:name w:val="Table Heading"/>
    <w:basedOn w:val="74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image" Target="media/image2.emf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13</Pages>
  <Words>1886</Words>
  <Characters>11306</Characters>
  <Paragraphs>309</Paragraphs>
  <TotalTime>146</TotalTime>
  <ScaleCrop>false</ScaleCrop>
  <LinksUpToDate>false</LinksUpToDate>
  <CharactersWithSpaces>13107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2025-04-04T08:48:00Z</dcterms:created>
  <dc:creator>Jasna Perhat</dc:creator>
  <cp:lastModifiedBy>Edita</cp:lastModifiedBy>
  <cp:lastPrinted>2024-05-23T11:18:00Z</cp:lastPrinted>
  <dcterms:modified xsi:type="dcterms:W3CDTF">2025-11-06T14:22:44Z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20603930162A42DA9E9F534738441E33_13</vt:lpwstr>
  </property>
</Properties>
</file>